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983"/>
        <w:gridCol w:w="2981"/>
        <w:gridCol w:w="1062"/>
        <w:gridCol w:w="11"/>
        <w:gridCol w:w="4030"/>
      </w:tblGrid>
      <w:tr w:rsidR="00897CC7" w:rsidRPr="00AA03D0" w:rsidTr="004F3E7A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97CC7" w:rsidRPr="00AA03D0" w:rsidRDefault="00897CC7" w:rsidP="00A870EE">
            <w:pPr>
              <w:pStyle w:val="Brezrazmikov"/>
              <w:jc w:val="center"/>
            </w:pPr>
            <w:r>
              <w:rPr>
                <w:noProof/>
              </w:rPr>
              <w:drawing>
                <wp:inline distT="0" distB="0" distL="0" distR="0" wp14:anchorId="021A76F0" wp14:editId="4C5177E1">
                  <wp:extent cx="413385" cy="476885"/>
                  <wp:effectExtent l="0" t="0" r="5715" b="0"/>
                  <wp:docPr id="1" name="Slika 1" descr="Opis: 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897CC7" w:rsidRPr="001C55F0" w:rsidRDefault="00897CC7" w:rsidP="00A870EE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897CC7" w:rsidRPr="00893A4E" w:rsidRDefault="00897CC7" w:rsidP="00A870EE">
            <w:pPr>
              <w:pStyle w:val="Brezrazmikov"/>
              <w:rPr>
                <w:rFonts w:cs="Arial"/>
                <w:strike/>
                <w:color w:val="FF0000"/>
                <w:sz w:val="22"/>
                <w:szCs w:val="22"/>
              </w:rPr>
            </w:pPr>
          </w:p>
        </w:tc>
      </w:tr>
      <w:tr w:rsidR="00763BA6" w:rsidRPr="00AA03D0" w:rsidTr="004F3E7A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AA03D0" w:rsidRDefault="00763BA6" w:rsidP="00763BA6">
            <w:pPr>
              <w:pStyle w:val="Brezrazmikov"/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763BA6" w:rsidRPr="00A56204" w:rsidRDefault="00F836EB" w:rsidP="0045057C">
            <w:pPr>
              <w:pStyle w:val="Brezrazmikov"/>
              <w:rPr>
                <w:b/>
                <w:sz w:val="16"/>
                <w:szCs w:val="16"/>
              </w:rPr>
            </w:pPr>
            <w:r w:rsidRPr="00A56204">
              <w:rPr>
                <w:b/>
                <w:sz w:val="16"/>
                <w:szCs w:val="16"/>
              </w:rPr>
              <w:t>Komisija za mandatna vprašanja, volitve in imenovanja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763BA6" w:rsidRPr="00893A4E" w:rsidRDefault="00763BA6" w:rsidP="00763BA6">
            <w:pPr>
              <w:pStyle w:val="Brezrazmikov"/>
              <w:rPr>
                <w:rFonts w:cs="Arial"/>
                <w:strike/>
                <w:color w:val="FF0000"/>
                <w:sz w:val="22"/>
                <w:szCs w:val="22"/>
              </w:rPr>
            </w:pPr>
          </w:p>
        </w:tc>
      </w:tr>
      <w:tr w:rsidR="00763BA6" w:rsidRPr="00AA03D0" w:rsidTr="004F3E7A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AA03D0" w:rsidRDefault="00763BA6" w:rsidP="00763BA6">
            <w:pPr>
              <w:pStyle w:val="Brezrazmikov"/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763BA6" w:rsidRPr="001C55F0" w:rsidRDefault="00893A4E" w:rsidP="00763BA6">
            <w:pPr>
              <w:pStyle w:val="Brezrazmikov"/>
              <w:rPr>
                <w:sz w:val="17"/>
                <w:szCs w:val="17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763BA6" w:rsidRPr="00893A4E" w:rsidRDefault="00763BA6" w:rsidP="00763BA6">
            <w:pPr>
              <w:pStyle w:val="Brezrazmikov"/>
              <w:rPr>
                <w:rFonts w:cs="Arial"/>
                <w:strike/>
                <w:color w:val="FF0000"/>
                <w:sz w:val="22"/>
                <w:szCs w:val="22"/>
              </w:rPr>
            </w:pPr>
          </w:p>
        </w:tc>
      </w:tr>
      <w:tr w:rsidR="00763BA6" w:rsidRPr="00F836EB" w:rsidTr="004F3E7A">
        <w:trPr>
          <w:trHeight w:hRule="exact" w:val="227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763BA6" w:rsidRPr="00F836EB" w:rsidTr="004F3E7A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763BA6" w:rsidRPr="00E917D2" w:rsidRDefault="00763BA6" w:rsidP="00763BA6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763BA6" w:rsidRPr="00E917D2" w:rsidRDefault="00763BA6" w:rsidP="00763BA6">
            <w:pPr>
              <w:pStyle w:val="Brezrazmikov"/>
              <w:rPr>
                <w:rFonts w:cs="Arial"/>
                <w:sz w:val="16"/>
                <w:szCs w:val="16"/>
              </w:rPr>
            </w:pPr>
            <w:r w:rsidRPr="00E917D2">
              <w:rPr>
                <w:rFonts w:cs="Arial"/>
                <w:sz w:val="16"/>
                <w:szCs w:val="16"/>
              </w:rPr>
              <w:t>T: 03 81 81 700</w:t>
            </w:r>
          </w:p>
        </w:tc>
      </w:tr>
      <w:tr w:rsidR="00763BA6" w:rsidRPr="00F836EB" w:rsidTr="004F3E7A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763BA6" w:rsidRPr="00E917D2" w:rsidRDefault="00763BA6" w:rsidP="00763BA6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763BA6" w:rsidRPr="00E917D2" w:rsidRDefault="00763BA6" w:rsidP="00763BA6">
            <w:pPr>
              <w:pStyle w:val="Brezrazmikov"/>
              <w:rPr>
                <w:rFonts w:cs="Arial"/>
                <w:sz w:val="16"/>
                <w:szCs w:val="16"/>
              </w:rPr>
            </w:pPr>
            <w:r w:rsidRPr="00E917D2">
              <w:rPr>
                <w:rFonts w:cs="Arial"/>
                <w:sz w:val="16"/>
                <w:szCs w:val="16"/>
              </w:rPr>
              <w:t>F: 03 81 81 724</w:t>
            </w:r>
          </w:p>
        </w:tc>
      </w:tr>
      <w:tr w:rsidR="00763BA6" w:rsidRPr="00F836EB" w:rsidTr="004F3E7A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3"/>
            <w:tcMar>
              <w:left w:w="0" w:type="dxa"/>
              <w:right w:w="0" w:type="dxa"/>
            </w:tcMar>
            <w:vAlign w:val="bottom"/>
          </w:tcPr>
          <w:p w:rsidR="00763BA6" w:rsidRPr="00E917D2" w:rsidRDefault="00763BA6" w:rsidP="00763BA6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41" w:type="dxa"/>
            <w:gridSpan w:val="2"/>
            <w:tcMar>
              <w:left w:w="0" w:type="dxa"/>
              <w:right w:w="0" w:type="dxa"/>
            </w:tcMar>
            <w:vAlign w:val="bottom"/>
          </w:tcPr>
          <w:p w:rsidR="00763BA6" w:rsidRPr="00E917D2" w:rsidRDefault="00763BA6" w:rsidP="00763BA6">
            <w:pPr>
              <w:pStyle w:val="Brezrazmikov"/>
              <w:rPr>
                <w:rFonts w:cs="Arial"/>
                <w:sz w:val="16"/>
                <w:szCs w:val="16"/>
              </w:rPr>
            </w:pPr>
            <w:r w:rsidRPr="00E917D2">
              <w:rPr>
                <w:rFonts w:cs="Arial"/>
                <w:sz w:val="16"/>
                <w:szCs w:val="16"/>
              </w:rPr>
              <w:t>E: obcina@rogaska-slatina.si</w:t>
            </w:r>
          </w:p>
        </w:tc>
      </w:tr>
      <w:tr w:rsidR="00763BA6" w:rsidRPr="00F836EB" w:rsidTr="004F3E7A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 w:val="restart"/>
            <w:tcMar>
              <w:left w:w="0" w:type="dxa"/>
              <w:right w:w="0" w:type="dxa"/>
            </w:tcMar>
          </w:tcPr>
          <w:p w:rsidR="00DF22AB" w:rsidRPr="00E917D2" w:rsidRDefault="00DF22AB" w:rsidP="00763BA6">
            <w:pPr>
              <w:pStyle w:val="Brezrazmikov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4F3E7A" w:rsidRPr="00E917D2" w:rsidRDefault="00F836EB" w:rsidP="00763BA6">
            <w:pPr>
              <w:pStyle w:val="Brezrazmikov"/>
              <w:jc w:val="left"/>
              <w:rPr>
                <w:rFonts w:cs="Arial"/>
                <w:b/>
                <w:sz w:val="16"/>
                <w:szCs w:val="16"/>
              </w:rPr>
            </w:pPr>
            <w:r w:rsidRPr="00E917D2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gridSpan w:val="2"/>
            <w:vAlign w:val="bottom"/>
          </w:tcPr>
          <w:p w:rsidR="00763BA6" w:rsidRPr="00E917D2" w:rsidRDefault="00763BA6" w:rsidP="00763BA6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4030" w:type="dxa"/>
            <w:tcMar>
              <w:left w:w="0" w:type="dxa"/>
              <w:right w:w="0" w:type="dxa"/>
            </w:tcMar>
            <w:vAlign w:val="bottom"/>
          </w:tcPr>
          <w:p w:rsidR="00763BA6" w:rsidRPr="00E917D2" w:rsidRDefault="00763BA6" w:rsidP="00763BA6">
            <w:pPr>
              <w:pStyle w:val="Brezrazmikov"/>
              <w:rPr>
                <w:rFonts w:cs="Arial"/>
                <w:sz w:val="16"/>
                <w:szCs w:val="16"/>
              </w:rPr>
            </w:pPr>
            <w:r w:rsidRPr="00E917D2">
              <w:rPr>
                <w:rFonts w:cs="Arial"/>
                <w:sz w:val="16"/>
                <w:szCs w:val="16"/>
              </w:rPr>
              <w:t>www.rogaska-slatina.si</w:t>
            </w:r>
          </w:p>
        </w:tc>
      </w:tr>
      <w:tr w:rsidR="00763BA6" w:rsidRPr="00F836EB" w:rsidTr="004F3E7A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763BA6" w:rsidRPr="00F836EB" w:rsidRDefault="00763BA6" w:rsidP="00763BA6">
            <w:pPr>
              <w:pStyle w:val="Brezrazmikov"/>
              <w:jc w:val="right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763BA6" w:rsidRPr="00F836EB" w:rsidTr="004F3E7A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763BA6" w:rsidRPr="00F836EB" w:rsidRDefault="00763BA6" w:rsidP="00763BA6">
            <w:pPr>
              <w:pStyle w:val="Brezrazmikov"/>
              <w:jc w:val="right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763BA6" w:rsidRPr="00F836EB" w:rsidTr="004F3E7A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763BA6" w:rsidRPr="00F836EB" w:rsidRDefault="00763BA6" w:rsidP="00763BA6">
            <w:pPr>
              <w:pStyle w:val="Brezrazmikov"/>
              <w:jc w:val="right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763BA6" w:rsidRPr="00F836EB" w:rsidTr="004F3E7A">
        <w:trPr>
          <w:trHeight w:hRule="exact" w:val="314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763BA6" w:rsidRPr="00F836EB" w:rsidRDefault="00763BA6" w:rsidP="00763BA6">
            <w:pPr>
              <w:pStyle w:val="Brezrazmikov"/>
              <w:jc w:val="right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763BA6" w:rsidRPr="00F836EB" w:rsidTr="004F3E7A">
        <w:trPr>
          <w:trHeight w:val="150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763BA6" w:rsidRPr="00F836EB" w:rsidTr="004F3E7A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  <w:r w:rsidRPr="00F836EB">
              <w:rPr>
                <w:rFonts w:cs="Arial"/>
                <w:sz w:val="20"/>
                <w:szCs w:val="20"/>
              </w:rPr>
              <w:t>Številka:</w:t>
            </w:r>
            <w:r w:rsidR="004F3E7A" w:rsidRPr="00F836E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084" w:type="dxa"/>
            <w:gridSpan w:val="4"/>
            <w:tcMar>
              <w:left w:w="0" w:type="dxa"/>
              <w:right w:w="0" w:type="dxa"/>
            </w:tcMar>
            <w:vAlign w:val="bottom"/>
          </w:tcPr>
          <w:p w:rsidR="00763BA6" w:rsidRPr="00F836EB" w:rsidRDefault="002573C6" w:rsidP="00F836EB">
            <w:pPr>
              <w:pStyle w:val="Brezrazmikov"/>
              <w:rPr>
                <w:rFonts w:cs="Arial"/>
                <w:sz w:val="20"/>
                <w:szCs w:val="20"/>
              </w:rPr>
            </w:pPr>
            <w:r w:rsidRPr="00F836EB">
              <w:rPr>
                <w:rFonts w:cs="Arial"/>
                <w:sz w:val="20"/>
                <w:szCs w:val="20"/>
              </w:rPr>
              <w:t xml:space="preserve"> </w:t>
            </w:r>
            <w:r w:rsidR="00F836EB" w:rsidRPr="00F836EB">
              <w:rPr>
                <w:rFonts w:cs="Arial"/>
                <w:sz w:val="20"/>
                <w:szCs w:val="20"/>
              </w:rPr>
              <w:t>032-0019/2020</w:t>
            </w:r>
          </w:p>
        </w:tc>
      </w:tr>
      <w:tr w:rsidR="00763BA6" w:rsidRPr="00F836EB" w:rsidTr="004F3E7A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4F3E7A">
            <w:pPr>
              <w:pStyle w:val="Brezrazmikov"/>
              <w:rPr>
                <w:rFonts w:cs="Arial"/>
                <w:sz w:val="20"/>
                <w:szCs w:val="20"/>
              </w:rPr>
            </w:pPr>
            <w:r w:rsidRPr="00F836EB">
              <w:rPr>
                <w:rFonts w:cs="Arial"/>
                <w:sz w:val="20"/>
                <w:szCs w:val="20"/>
              </w:rPr>
              <w:t>Datum:</w:t>
            </w:r>
            <w:r w:rsidR="004F3E7A" w:rsidRPr="00F836EB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8084" w:type="dxa"/>
            <w:gridSpan w:val="4"/>
            <w:tcMar>
              <w:left w:w="0" w:type="dxa"/>
              <w:right w:w="0" w:type="dxa"/>
            </w:tcMar>
            <w:vAlign w:val="bottom"/>
          </w:tcPr>
          <w:p w:rsidR="00763BA6" w:rsidRPr="00F836EB" w:rsidRDefault="004F3E7A" w:rsidP="00941930">
            <w:pPr>
              <w:pStyle w:val="Brezrazmikov"/>
              <w:rPr>
                <w:rFonts w:cs="Arial"/>
                <w:sz w:val="20"/>
                <w:szCs w:val="20"/>
              </w:rPr>
            </w:pPr>
            <w:r w:rsidRPr="00F836EB">
              <w:rPr>
                <w:rFonts w:cs="Arial"/>
                <w:sz w:val="20"/>
                <w:szCs w:val="20"/>
              </w:rPr>
              <w:t xml:space="preserve"> 24.11.2020</w:t>
            </w:r>
          </w:p>
        </w:tc>
      </w:tr>
      <w:tr w:rsidR="00763BA6" w:rsidRPr="00F836EB" w:rsidTr="004F3E7A">
        <w:trPr>
          <w:trHeight w:val="255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color w:val="A6A6A6"/>
                <w:sz w:val="20"/>
                <w:szCs w:val="20"/>
                <w:vertAlign w:val="superscript"/>
              </w:rPr>
            </w:pPr>
            <w:r w:rsidRPr="00F836EB">
              <w:rPr>
                <w:rFonts w:cs="Arial"/>
                <w:color w:val="000000"/>
                <w:sz w:val="20"/>
                <w:szCs w:val="20"/>
                <w:vertAlign w:val="superscript"/>
              </w:rPr>
              <w:t>_</w:t>
            </w: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</w:tcPr>
          <w:p w:rsidR="00763BA6" w:rsidRDefault="00763BA6" w:rsidP="00763BA6">
            <w:pPr>
              <w:rPr>
                <w:rFonts w:cs="Arial"/>
                <w:strike/>
                <w:color w:val="FF0000"/>
                <w:sz w:val="20"/>
                <w:szCs w:val="20"/>
              </w:rPr>
            </w:pPr>
          </w:p>
          <w:p w:rsidR="00E917D2" w:rsidRPr="00F836EB" w:rsidRDefault="00E917D2" w:rsidP="00763BA6">
            <w:pPr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763BA6" w:rsidRPr="00F836EB" w:rsidTr="004F3E7A">
        <w:trPr>
          <w:trHeight w:val="404"/>
        </w:trPr>
        <w:tc>
          <w:tcPr>
            <w:tcW w:w="1153" w:type="dxa"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 w:rsidR="004F3E7A" w:rsidRPr="00F836EB" w:rsidRDefault="004F3E7A" w:rsidP="004F3E7A">
            <w:pPr>
              <w:pStyle w:val="Brezrazmikov"/>
              <w:rPr>
                <w:rFonts w:cs="Arial"/>
                <w:b/>
                <w:bCs/>
                <w:sz w:val="20"/>
                <w:szCs w:val="20"/>
              </w:rPr>
            </w:pPr>
            <w:r w:rsidRPr="00F836EB">
              <w:rPr>
                <w:rFonts w:cs="Arial"/>
                <w:b/>
                <w:bCs/>
                <w:sz w:val="20"/>
                <w:szCs w:val="20"/>
              </w:rPr>
              <w:t xml:space="preserve">ZADEVA: </w:t>
            </w:r>
          </w:p>
        </w:tc>
        <w:tc>
          <w:tcPr>
            <w:tcW w:w="8084" w:type="dxa"/>
            <w:gridSpan w:val="4"/>
            <w:tcMar>
              <w:left w:w="0" w:type="dxa"/>
              <w:right w:w="0" w:type="dxa"/>
            </w:tcMar>
          </w:tcPr>
          <w:p w:rsidR="00763BA6" w:rsidRPr="00F836EB" w:rsidRDefault="00F836EB" w:rsidP="00763BA6">
            <w:pPr>
              <w:rPr>
                <w:rFonts w:cs="Arial"/>
                <w:b/>
                <w:sz w:val="20"/>
                <w:szCs w:val="20"/>
              </w:rPr>
            </w:pPr>
            <w:r w:rsidRPr="00F836EB">
              <w:rPr>
                <w:rFonts w:cs="Arial"/>
                <w:b/>
                <w:bCs/>
                <w:sz w:val="20"/>
                <w:szCs w:val="20"/>
              </w:rPr>
              <w:t>Javni poziv za predlaganje kandidatov za sodnike porotnike na območju Okrožnega sodišča v Celju</w:t>
            </w:r>
          </w:p>
        </w:tc>
      </w:tr>
      <w:tr w:rsidR="00763BA6" w:rsidRPr="00F836EB" w:rsidTr="004F3E7A">
        <w:trPr>
          <w:trHeight w:val="66"/>
        </w:trPr>
        <w:tc>
          <w:tcPr>
            <w:tcW w:w="10220" w:type="dxa"/>
            <w:gridSpan w:val="6"/>
            <w:tcMar>
              <w:left w:w="0" w:type="dxa"/>
              <w:right w:w="0" w:type="dxa"/>
            </w:tcMar>
            <w:vAlign w:val="bottom"/>
          </w:tcPr>
          <w:p w:rsidR="00763BA6" w:rsidRPr="00F836EB" w:rsidRDefault="00763BA6" w:rsidP="00763BA6">
            <w:pPr>
              <w:pStyle w:val="Brezrazmikov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</w:p>
        </w:tc>
      </w:tr>
    </w:tbl>
    <w:p w:rsidR="00F836EB" w:rsidRPr="00F836EB" w:rsidRDefault="00F836EB" w:rsidP="0083702A">
      <w:pPr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</w:rPr>
        <w:t xml:space="preserve"> </w:t>
      </w:r>
    </w:p>
    <w:p w:rsidR="00F836EB" w:rsidRDefault="00F836EB" w:rsidP="00F836EB">
      <w:pPr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</w:rPr>
        <w:t>Okrožno sodišče v Celju je na podlagi 2. odstavka 46. člena Zakona o sodiščih (</w:t>
      </w:r>
      <w:r w:rsidRPr="00F836EB">
        <w:rPr>
          <w:rFonts w:cs="Arial"/>
          <w:sz w:val="20"/>
          <w:szCs w:val="20"/>
          <w:shd w:val="clear" w:color="auto" w:fill="FFFFFF"/>
        </w:rPr>
        <w:t>Uradni list RS, št. </w:t>
      </w:r>
      <w:hyperlink r:id="rId6" w:tgtFrame="_blank" w:tooltip="Zakon o sodiščih (ZS) z dne 13.4.1994. Uporablja se od 28.4.1994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19/94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7" w:tgtFrame="_blank" w:tooltip="Zakon o spremembah in dopolnitvah zakona o sodiščih (ZS-A) z dne 4.8.1995. Uporablja se od 19.8.1995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45/95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8" w:tgtFrame="_blank" w:tooltip="Zakon o pravdnem postopku (ZPP) z dne 15.4.1999. Uporablja se od 14.7.199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26/99 - ZPP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9" w:tgtFrame="_blank" w:tooltip="Zakon o spremembi in dopolnitvi zakona o sodiščih (ZS-B) z dne 21.5.1999. Uporablja se od 22.5.199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38/99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0" w:tgtFrame="_blank" w:tooltip="Zakon o spremembah in dopolnitvah zakona o sodiščih (ZS-C) z dne 30.3.2000. Uporablja se od 14.4.200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28/00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1" w:tgtFrame="_blank" w:tooltip="Pomorski zakonik (PZ) z dne 12.4.2001. Uporablja se od 12.5.2001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26/01 - PZ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2" w:tgtFrame="_blank" w:tooltip="Zakon o javnih uslužbencih (ZJU) z dne 28.6.2002. Uporablja se od 28.6.2003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56/02 - ZJU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3" w:tgtFrame="_blank" w:tooltip="Zakon o spremembah in dopolnitvah zakona o sodniški službi (ZSS-D) z dne 26.7.2002. Uporablja se od 10.8.2002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67/02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4" w:tgtFrame="_blank" w:tooltip="Zakon o spremembah in dopolnitvah zakona o zakonski zvezi in družinskih razmerjih (ZZZDR-C) z dne 20.2.2004. Uporablja se od 1.5.2004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16/04 - ZZZDR-C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5" w:tgtFrame="_blank" w:tooltip="Zakon o spremembah in dopolnitvah zakona o sodiščih (ZS-D) z dne 5.7.2004. Uporablja se od 20.7.2004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73/04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6" w:tgtFrame="_blank" w:tooltip="Zakon o spremembah in dopolnitvah Zakona o sodiščih (ZS-E) z dne 29.7.2005. Uporablja se od 30.7.2005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72/05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7" w:tgtFrame="_blank" w:tooltip="Zakon o varstvu pravice do sojenja brez nepotrebnega odlašanja (ZVPSBNO) z dne 12.5.2006. Uporablja se od 1.1.2007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49/06 - ZVPSBNO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8" w:tgtFrame="_blank" w:tooltip="Zakon o spremembah in dopolnitvah Zakona o sodiščih (ZS-F) z dne 7.12.2006. Uporablja se od 22.12.2006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127/06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19" w:tgtFrame="_blank" w:tooltip="Zakon o spremembah in dopolnitvah Zakona o sodiščih (ZS-G) z dne 27.7.2007. Uporablja se od 28.7.2007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67/07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0" w:tgtFrame="_blank" w:tooltip="Zakon o spremembah in dopolnitvah Zakona o sodiščih (ZS-H) z dne 9.5.2008. Uporablja se od 24.5.2008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45/08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1" w:tgtFrame="_blank" w:tooltip="Zakon o spremembah in dopolnitvah Zakona o sodiščih (ZS-I) z dne 27.11.2009. Uporablja se od 1.1.201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96/09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2" w:tgtFrame="_blank" w:tooltip="Zakon o Javnem nepremičninskem skladu Republike Slovenije (ZJNepS) z dne 2.11.2010. Uporablja se od 1.6.2011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86/10 -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ZJNepS</w:t>
        </w:r>
        <w:proofErr w:type="spellEnd"/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3" w:tgtFrame="_blank" w:tooltip="Zakon o spremembah in dopolnitvah Zakona o sodiščih (ZS-J) z dne 3.5.2011. Uporablja se od 18.5.2011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33/11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4" w:tgtFrame="_blank" w:tooltip="Zakon o spremembah in dopolnitvah Zakona o stvarnem premoženju države in samoupravnih lokalnih skupnosti (ZSPDSLS-A) z dne 5.10.2012. Uporablja se od 6.10.2012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75/12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5" w:tgtFrame="_blank" w:tooltip="Zakon o spremembah in dopolnitvah Zakona o sodiščih (ZS-K) z dne 26.7.2013. Uporablja se od 10.8.2013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63/13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6" w:tgtFrame="_blank" w:tooltip="Zakon o spremembah in dopolnitvah Zakona o sodiščih (ZS-L) z dne 13.3.2015. Uporablja se od 28.3.2015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17/15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7" w:tgtFrame="_blank" w:tooltip="Zakon o sodnem svetu (ZSSve) z dne 5.5.2017. Uporablja se od 20.11.2017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23/17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8" w:tgtFrame="_blank" w:tooltip="Zakon o sodnih izvedencih, sodnih cenilcih in sodnih tolmačih (ZSICT) z dne 4.4.2018. Uporablja se od 1.1.201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22/18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29" w:tgtFrame="_blank" w:tooltip="Zakon o nepravdnem postopku (ZNP-1) z dne 15.3.2019. Uporablja se od 15.4.201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16/19 - ZNP-1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30" w:tgtFrame="_blank" w:tooltip="Zakon o začasnih ukrepih v zvezi s sodnimi, upravnimi in drugimi javnopravnimi zadevami za obvladovanje širjenja nalezljive bolezni SARS-CoV-2 (COVID-19) (ZZUSUDJZ) z dne 28.3.2020. Uporablja se od 29.3.202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36/20 - ZZUSUDJZ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31" w:tgtFrame="_blank" w:tooltip="Zakon o spremembi in dopolnitvah Zakona o začasnih ukrepih v zvezi s sodnimi, upravnimi in drugimi javnopravnimi zadevami za obvladovanje širjenja nalezljive bolezni SARS-CoV-2 (COVID-19) (ZZUSUDJZ-A) z dne 30.4.2020. Uporablja se od 1.5.202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61/20 - ZZUSUDJZ-A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32" w:tgtFrame="_blank" w:tooltip="Zakon o interventnih ukrepih za omilitev in odpravo posledic epidemije COVID-19 (ZIUOOPE) z dne 30.5.2020. Uporablja se od 1.6.202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80/20 - ZIUOOPE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33" w:tgtFrame="_blank" w:tooltip="Zakon o spremembah Zakona o sodiščih (ZS-M) z dne 24.7.2020. Uporablja se od 25.7.202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104/20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34" w:tgtFrame="_blank" w:tooltip="Zakon o začasnih ukrepih za omilitev in odpravo posledic COVID-19 (ZZUOOP) z dne 23.10.2020. Uporablja se od 24.10.202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152/20 - ZZUOOP</w:t>
        </w:r>
      </w:hyperlink>
      <w:r w:rsidRPr="00F836EB">
        <w:rPr>
          <w:rFonts w:cs="Arial"/>
          <w:sz w:val="20"/>
          <w:szCs w:val="20"/>
        </w:rPr>
        <w:t>) v Uradnem listu RS, št. 168/20 z dne 20.11.2020 objavilo javni poziv za predlaganje kandidatov za sodnike porotnike Okrožnega sodišča v Celju.</w:t>
      </w:r>
    </w:p>
    <w:p w:rsidR="000B57F3" w:rsidRPr="00F836EB" w:rsidRDefault="000B57F3" w:rsidP="00F836EB">
      <w:pPr>
        <w:rPr>
          <w:rFonts w:cs="Arial"/>
          <w:sz w:val="20"/>
          <w:szCs w:val="20"/>
        </w:rPr>
      </w:pPr>
    </w:p>
    <w:p w:rsidR="00F836EB" w:rsidRPr="00F836EB" w:rsidRDefault="00F836EB" w:rsidP="0083702A">
      <w:pPr>
        <w:rPr>
          <w:rFonts w:cs="Arial"/>
          <w:sz w:val="20"/>
          <w:szCs w:val="20"/>
        </w:rPr>
      </w:pPr>
    </w:p>
    <w:p w:rsidR="00F836EB" w:rsidRPr="00F836EB" w:rsidRDefault="00F836EB" w:rsidP="0083702A">
      <w:pPr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</w:rPr>
        <w:t xml:space="preserve">V skladu s prvim odstavkom 45. člena ZS lahko kandidate za sodnike porotnike predlagajo: </w:t>
      </w:r>
    </w:p>
    <w:p w:rsidR="00F836EB" w:rsidRPr="00F836EB" w:rsidRDefault="00F836EB" w:rsidP="00F836EB">
      <w:pPr>
        <w:pStyle w:val="Odstavekseznama"/>
        <w:numPr>
          <w:ilvl w:val="0"/>
          <w:numId w:val="5"/>
        </w:numPr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</w:rPr>
        <w:t>predstavniški organi občin z območja sodišča, pri katerem bodo sodniki porotniki in</w:t>
      </w:r>
    </w:p>
    <w:p w:rsidR="00F836EB" w:rsidRPr="00F836EB" w:rsidRDefault="00F836EB" w:rsidP="00F836EB">
      <w:pPr>
        <w:pStyle w:val="Odstavekseznama"/>
        <w:numPr>
          <w:ilvl w:val="0"/>
          <w:numId w:val="5"/>
        </w:numPr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</w:rPr>
        <w:t>interesne organizacije, ki so kot društva ali združenja registrirane in delujejo na območju Okrožnega sodišča v Celju.</w:t>
      </w:r>
    </w:p>
    <w:p w:rsidR="00F836EB" w:rsidRPr="00F836EB" w:rsidRDefault="00F836EB" w:rsidP="00F836EB">
      <w:pPr>
        <w:rPr>
          <w:rFonts w:cs="Arial"/>
          <w:sz w:val="20"/>
          <w:szCs w:val="20"/>
        </w:rPr>
      </w:pPr>
    </w:p>
    <w:p w:rsidR="00F836EB" w:rsidRPr="00F836EB" w:rsidRDefault="00F836EB" w:rsidP="00F836EB">
      <w:pPr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</w:rPr>
        <w:t xml:space="preserve">Po določbi 1. odst. 45. člena ZS politične stranke neposredno ne morejo predlagati kandidatov. Za območje </w:t>
      </w:r>
      <w:r w:rsidR="00E917D2">
        <w:rPr>
          <w:rFonts w:cs="Arial"/>
          <w:sz w:val="20"/>
          <w:szCs w:val="20"/>
        </w:rPr>
        <w:t>Okrožnega sodišča v Celju se predlaga skupno 130 sodnikov porotniko</w:t>
      </w:r>
      <w:r w:rsidR="00643D9B">
        <w:rPr>
          <w:rFonts w:cs="Arial"/>
          <w:sz w:val="20"/>
          <w:szCs w:val="20"/>
        </w:rPr>
        <w:t xml:space="preserve">v; </w:t>
      </w:r>
      <w:r w:rsidR="00E917D2">
        <w:rPr>
          <w:rFonts w:cs="Arial"/>
          <w:sz w:val="20"/>
          <w:szCs w:val="20"/>
        </w:rPr>
        <w:t>število sodnikov porotnikov iz območja posamezne občine se določi v sorazmerju s številom prebivalcev oz. številom članov, ki jih imajo interesne organizacije na območju občine</w:t>
      </w:r>
      <w:r w:rsidRPr="00F836EB">
        <w:rPr>
          <w:rFonts w:cs="Arial"/>
          <w:sz w:val="20"/>
          <w:szCs w:val="20"/>
        </w:rPr>
        <w:t>. Mandat sodnikov porotnikov traja 5 let.</w:t>
      </w:r>
    </w:p>
    <w:p w:rsidR="00F836EB" w:rsidRPr="00643D9B" w:rsidRDefault="00F836EB" w:rsidP="00F836EB">
      <w:pPr>
        <w:rPr>
          <w:rFonts w:cs="Arial"/>
          <w:b/>
          <w:sz w:val="20"/>
          <w:szCs w:val="20"/>
        </w:rPr>
      </w:pPr>
    </w:p>
    <w:p w:rsidR="00F836EB" w:rsidRPr="00643D9B" w:rsidRDefault="00F836EB" w:rsidP="00F836EB">
      <w:pPr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643D9B">
        <w:rPr>
          <w:rFonts w:cs="Arial"/>
          <w:b/>
          <w:color w:val="000000"/>
          <w:sz w:val="20"/>
          <w:szCs w:val="20"/>
          <w:shd w:val="clear" w:color="auto" w:fill="FFFFFF"/>
        </w:rPr>
        <w:t>Za sodnika porotnika je lahko imenovan državljan Republike Slovenije, ki je dopolnil 30 let starosti, ki ni bil pravnomočno obsojen za kaznivo dejanje, ki se p</w:t>
      </w:r>
      <w:r w:rsidR="00643D9B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reganja po uradni dolžnosti in </w:t>
      </w:r>
      <w:r w:rsidRPr="00643D9B">
        <w:rPr>
          <w:rFonts w:cs="Arial"/>
          <w:b/>
          <w:color w:val="000000"/>
          <w:sz w:val="20"/>
          <w:szCs w:val="20"/>
          <w:shd w:val="clear" w:color="auto" w:fill="FFFFFF"/>
        </w:rPr>
        <w:t>ki je zdravstveno in osebnostno primeren za udeležbo pri izvajanju sodne veje oblasti ter aktivno obvlada slovenski jezik.</w:t>
      </w:r>
    </w:p>
    <w:p w:rsidR="00F836EB" w:rsidRPr="00F836EB" w:rsidRDefault="00F836EB" w:rsidP="00F836EB">
      <w:pPr>
        <w:rPr>
          <w:rFonts w:cs="Arial"/>
          <w:color w:val="000000"/>
          <w:sz w:val="20"/>
          <w:szCs w:val="20"/>
          <w:shd w:val="clear" w:color="auto" w:fill="FFFFFF"/>
        </w:rPr>
      </w:pPr>
    </w:p>
    <w:p w:rsidR="00F836EB" w:rsidRPr="00F836EB" w:rsidRDefault="00F836EB" w:rsidP="00F836EB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F836EB">
        <w:rPr>
          <w:rFonts w:cs="Arial"/>
          <w:color w:val="000000"/>
          <w:sz w:val="20"/>
          <w:szCs w:val="20"/>
          <w:shd w:val="clear" w:color="auto" w:fill="FFFFFF"/>
        </w:rPr>
        <w:t>Kandidat za sodnika porotnika je lahko tudi oseba, ki že opravlja to funkcijo, če z novimi dokazili izkaž</w:t>
      </w:r>
      <w:r w:rsidR="00E917D2">
        <w:rPr>
          <w:rFonts w:cs="Arial"/>
          <w:color w:val="000000"/>
          <w:sz w:val="20"/>
          <w:szCs w:val="20"/>
          <w:shd w:val="clear" w:color="auto" w:fill="FFFFFF"/>
        </w:rPr>
        <w:t>e</w:t>
      </w:r>
      <w:r w:rsidRPr="00F836EB">
        <w:rPr>
          <w:rFonts w:cs="Arial"/>
          <w:color w:val="000000"/>
          <w:sz w:val="20"/>
          <w:szCs w:val="20"/>
          <w:shd w:val="clear" w:color="auto" w:fill="FFFFFF"/>
        </w:rPr>
        <w:t>, da izpolnjuje zakonske pogoje.</w:t>
      </w:r>
    </w:p>
    <w:p w:rsidR="00F836EB" w:rsidRPr="00F836EB" w:rsidRDefault="00F836EB" w:rsidP="00F836EB">
      <w:pPr>
        <w:rPr>
          <w:rFonts w:cs="Arial"/>
          <w:sz w:val="20"/>
          <w:szCs w:val="20"/>
          <w:shd w:val="clear" w:color="auto" w:fill="FFFFFF"/>
        </w:rPr>
      </w:pPr>
    </w:p>
    <w:p w:rsidR="00F836EB" w:rsidRPr="00F836EB" w:rsidRDefault="00F836EB" w:rsidP="00F836EB">
      <w:pPr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  <w:shd w:val="clear" w:color="auto" w:fill="FFFFFF"/>
        </w:rPr>
        <w:t>Pri oblikovanju predlogov kandidatov je potrebno upoštevati tudi določbo četrtega odstavka 462, člena Zakona o kazenskem postopku (Uradni list RS, št. </w:t>
      </w:r>
      <w:hyperlink r:id="rId35" w:tgtFrame="_blank" w:tooltip="Zakon o kazenskem postopku (ZKP) z dne 13.10.1994. Uporablja se od 1.1.1995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63/94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36" w:tgtFrame="_blank" w:tooltip="Odločba o razveljavitvi prvega odstavka 201. člena, prvega odstavka 361. člena in dela drugega odstavka 202. člena zakona o kazenskem postopku: o ugotovitvi, da točka 3 drugega odstavka 201. člena in 2. točka prvega odstavka 432. člena zakona o kazenskem posto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25/96 -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37" w:tgtFrame="_blank" w:tooltip="Odločba o ugotovitvi, da prvi odstavek 546. člena zakona o kazenskem postopku in prvi odstavek 250. člena zakona o prekrških nista v skladu z ustavo z dne 26.7.1996. Uporablja se od 27.7.1996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39/96 -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38" w:tgtFrame="_blank" w:tooltip="Odločba o razveljavitvi členov od 150 do 156 zakona o kazenskem postopku z dne 23.1.1998. Uporablja se od 23.1.199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5/98 -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39" w:tgtFrame="_blank" w:tooltip="Zakon o policiji (ZPol) z dne 3.7.1998. Uporablja se od 18.7.1998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49/98 - ZPol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0" w:tgtFrame="_blank" w:tooltip="Zakon o spremembah in dopolnitvah zakona o kazenskem postopku (ZKP-A) z dne 23.10.1998. Uporablja se od 24.1.199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72/98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1" w:tgtFrame="_blank" w:tooltip="Zakon o spremembi zakona o spremembah in dopolnitvah zakona o kazenskem postopku (ZKP-B) z dne 29.1.1999. Uporablja se od 30.1.199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6/99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2" w:tgtFrame="_blank" w:tooltip="Zakon o spremembi zakona o spremembah in dopolnitvah zakona o kazenskem postopku (ZKP-C) z dne 26.7.2000. Uporablja se od 27.7.200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66/00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3" w:tgtFrame="_blank" w:tooltip="Zakon o spremembah in dopolnitvah zakona o kazenskem postopku (ZKP-D) z dne 29.12.2001. Uporablja se od 13.1.2002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111/01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4" w:tgtFrame="_blank" w:tooltip="Odločba o ugotovitvi neskladnosti zakona o kazenskem postopku z ustavo z dne 11.4.2002. Uporablja se od 12.4.2002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32/02 -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5" w:tgtFrame="_blank" w:tooltip="Odločba o razveljavitvi drugega odstavka 41. člena zakona o kazenskem postopku v delu, ki se glasi: &quot;v primeru iz 6. točke 39. člena tega zakona pa samo do začetka glavne obravnave&quot; z dne 12.5.2003. Uporablja se od 12.5.2003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44/03 -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6" w:tgtFrame="_blank" w:tooltip="Zakon o spremembah in dopolnitvah zakona o kazenskem postopku (ZKP-E) z dne 13.6.2003. Uporablja se od 13.7.2003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56/03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7" w:tgtFrame="_blank" w:tooltip="Zakon o spremembah in dopolnitvah zakona o kazenskem postopku (ZKP-F) z dne 26.4.2004. Uporablja se od 23.5.2004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43/04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8" w:tgtFrame="_blank" w:tooltip="Odločba Ustavnega sodišča o razveljavitvi dela besedila prvega odstavka 502. člena in tretjega odstavka 109. člena Zakona o kazenskem postopku in ugotovitev skladnosti drugega odstavka 109. člena in prvega odstavka 506.a člena Zakona o kazenskem postopku z Ust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68/04 -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49" w:tgtFrame="_blank" w:tooltip="Zakon o spremembah in dopolnitvah Zakona o kazenskem postopku (ZKP-G) z dne 11.11.2005. Uporablja se od 26.11.2005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101/05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0" w:tgtFrame="_blank" w:tooltip="Zakon o spremembi in dopolnitvi Zakona o kazenskem postopku (ZKP-H) z dne 16.2.2007. Uporablja se od 17.5.2007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14/07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1" w:tgtFrame="_blank" w:tooltip="Odločba o ugotovitvi, da je 20. člen Zakona o spremembah in dopolnitvah Zakona o kazenskem postopku v neskladju z Ustavo in način njegove izvršitve z dne 7.5.2007. Uporablja se od 8.5.2007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40/07 -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2" w:tgtFrame="_blank" w:tooltip="Zakon o sodelovanju v kazenskih zadevah z državami članicami Evropske unije (ZSKZDČEU) z dne 9.11.2007. Uporablja se od 24.2.2008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102/07 - ZSKZDČEU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3" w:tgtFrame="_blank" w:tooltip="Odločba o ugotovitvi neustavnosti tretjega odstavka 421. člena Zakona o kazenskem postopku z dne 29.2.2008. Uporablja se od 1.3.2008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21/08 -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4" w:tgtFrame="_blank" w:tooltip="Zakon o spremembah in dopolnitvah Zakona o brezplačni pravni pomoči (ZBPP-B) z dne 7.3.2008. Uporablja se od 22.3.2008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23/08 - ZBPP-B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5" w:tgtFrame="_blank" w:tooltip="Odločba o ugotovitvi, da je 137. člen Zakona o kazenskem postopku v neskladju z Ustavo z dne 30.6.2008. Uporablja se od 1.7.2008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65/08 -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6" w:tgtFrame="_blank" w:tooltip="Zakon o spremembah in dopolnitvah Zakona o kazenskem postopku (ZKP-I) z dne 8.7.2008. Uporablja se od 1.11.2008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68/08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7" w:tgtFrame="_blank" w:tooltip="Odločba o oceni ustavnosti 112. člena Kazenskega zakonika in Zakona o kazenskem postopku z dne 19.9.2008. Uporablja se od 20.9.2008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89/08 -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8" w:tgtFrame="_blank" w:tooltip="Zakon o spremembah in dopolnitvah Zakona o kazenskem postopku (ZKP-J) z dne 2.10.2009. Uporablja se od 17.10.200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77/09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59" w:tgtFrame="_blank" w:tooltip="Odločba o ugotovitvi, da je Zakon o kazenskem postopku v neskladju z Ustavo in odločba o razveljavitvi sodbe Vrhovnega sodišča z dne 5.11.2009. Uporablja se od 6.11.200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88/09 -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0" w:tgtFrame="_blank" w:tooltip="Odločba o delni razveljavitvi četrtega stavka drugega odstavka 205. člena Zakona o kazenskem postopku in odločba o ugotovitvi kršitve pritožnikove pravice iz 22. člena Ustave z dne 9.4.2010. Uporablja se od 10.4.201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29/10 -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1" w:tgtFrame="_blank" w:tooltip="Zakon o državnem tožilstvu (ZDT-1) z dne 22.7.2011. Uporablja se od 6.11.2011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58/11 - ZDT-1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2" w:tgtFrame="_blank" w:tooltip="Zakon o spremembah in dopolnitvah Zakona o kazenskem postopku (ZKP-K) z dne 14.11.2011. Uporablja se od 15.5.2012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91/11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3" w:tgtFrame="_blank" w:tooltip="Zakon o spremembah in dopolnitvah Zakona o kazenskem postopku (ZKP-L) z dne 31.5.2013. Uporablja se od 15.6.2013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47/13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4" w:tgtFrame="_blank" w:tooltip="Zakon o spremembah in dopolnitvah Zakona o kazenskem postopku (ZKP-M) z dne 5.12.2014. Uporablja se od 20.3.2015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87/14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5" w:tgtFrame="_blank" w:tooltip="Odločba o ugotovitvi, da sta Zakon o kazenskem postopku in Zakon o odvetništvu v neskladju z Ustavo in odločba o ugotovitvi kršitve človekove pravice z dne 5.2.2016. Uporablja se od 6.2.2016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8/16 -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6" w:tgtFrame="_blank" w:tooltip="Odločba o razveljavitvi četrtega odstavka 399. člena Zakona o kazenskem postopku, kolikor izključuje pritožbo zoper sklep Vrhovnega sodišča o odreditvi pripora po četrtem odstavku 394. člena v zvezi z drugim odstavkom 398. člena Zakona o kazenskem postopku z d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64/16 -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7" w:tgtFrame="_blank" w:tooltip="Odločba o razveljavitvi tretje povedi prvega odstavka 78. člena Zakona o kazenskem postopku, kolikor se nanaša na primere, ko je domnevno žaljiva izjava usmerjena osebno zoper sodnika oziroma senat, pred katerim je bila dana oziroma ki je pristojen odločiti o 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65/16 -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8" w:tgtFrame="_blank" w:tooltip="Odločba o ugotovitvi, da je prvi odstavek 154. člena Zakona o kazenskem postopku v neskladju z Ustavo, kolikor določa, da podatke, sporočila, posnetke ali dokazila, pridobljene z uporabo prikritih preiskovalnih ukrepov, hrani sodišče, dokler se hrani kazenski 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16/17 -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69" w:tgtFrame="_blank" w:tooltip="Odločba o razveljavitvi sklepa Višjega sodišča v Mariboru in sklepa Okrožnega sodišča v Murski Soboti z dne 27.10.2017. Uporablja se od 28.10.2017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59/17 -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70" w:tgtFrame="_blank" w:tooltip="Avtentična razlaga četrtega odstavka 153. člena in drugega odstavka 154. člena Zakona o kazenskem postopku (ORZKP153,154) z dne 24.11.2017. Uporablja se od 24.11.2017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66/17 - ORZKP153,154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71" w:tgtFrame="_blank" w:tooltip="Sklep o zadržanju izvrševanja prve, druge in tretje povedi drugega odstavka 154. člena Zakona o kazenskem postopku z dne 4.1.2019. Uporablja se od 5.1.201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1/19 -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72" w:tgtFrame="_blank" w:tooltip="Zakon o spremembah in dopolnitvah Zakona o kazenskem postopku (ZKP-N) z dne 5.4.2019. Uporablja se od 20.7.201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22/19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73" w:tgtFrame="_blank" w:tooltip="Sklep o začasnem zadržanju izvrševanja 150.a člena Zakona o kazenskem postopku z dne 2.8.2019. Uporablja se od 3.8.201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48/19 -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74" w:tgtFrame="_blank" w:tooltip="Sklep o začasnem zadržanju izvrševanja druge povedi prvega odstavka 216. člena Zakona o kazenskem postopku z dne 5.11.2019. Uporablja se od 6.11.2019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66/19 -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75" w:tgtFrame="_blank" w:tooltip="Odločba o ugotovitvi, da je 41. člen Zakona o kazenskem postopku v neskladju z Ustavo in o razveljavitvi sodbe Vrhovnega sodišča z dne 20.4.2020. Uporablja se od 21.4.2020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55/20 -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  <w:shd w:val="clear" w:color="auto" w:fill="FFFFFF"/>
        </w:rPr>
        <w:t>, </w:t>
      </w:r>
      <w:hyperlink r:id="rId76" w:tgtFrame="_blank" w:tooltip="Odločba o ugotovitvi, da je drugi odstavek 129.a člena Zakona o kazenskem postopku, kolikor določa petnajstdnevni rok za vložitev predloga o nadomestitvi kazni zapora s hišnim zaporom, ki teče od pravnomočnosti sodbe oziroma od zadnje vročitve prepisa sodbe da" w:history="1"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 xml:space="preserve">89/20 - </w:t>
        </w:r>
        <w:proofErr w:type="spellStart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odl</w:t>
        </w:r>
        <w:proofErr w:type="spellEnd"/>
        <w:r w:rsidRPr="00F836EB">
          <w:rPr>
            <w:rStyle w:val="Hiperpovezava"/>
            <w:rFonts w:eastAsiaTheme="majorEastAsia" w:cs="Arial"/>
            <w:color w:val="auto"/>
            <w:sz w:val="20"/>
            <w:szCs w:val="20"/>
            <w:u w:val="none"/>
            <w:shd w:val="clear" w:color="auto" w:fill="FFFFFF"/>
          </w:rPr>
          <w:t>. US</w:t>
        </w:r>
      </w:hyperlink>
      <w:r w:rsidRPr="00F836EB">
        <w:rPr>
          <w:rFonts w:cs="Arial"/>
          <w:sz w:val="20"/>
          <w:szCs w:val="20"/>
        </w:rPr>
        <w:t>) in predlagati določeno število kandidatov  za sodnike porotnike za mladoletnike izmed profesorjev, učiteljev, vzgojiteljev in drugih oseb, ki imajo izkušnje z vzgojo mladoletnikov.</w:t>
      </w:r>
    </w:p>
    <w:p w:rsidR="00F836EB" w:rsidRPr="00F836EB" w:rsidRDefault="00F836EB" w:rsidP="00F836EB">
      <w:pPr>
        <w:rPr>
          <w:rFonts w:cs="Arial"/>
          <w:sz w:val="20"/>
          <w:szCs w:val="20"/>
        </w:rPr>
      </w:pPr>
    </w:p>
    <w:p w:rsidR="00F836EB" w:rsidRPr="00643D9B" w:rsidRDefault="00F836EB" w:rsidP="00F836EB">
      <w:pPr>
        <w:rPr>
          <w:rFonts w:cs="Arial"/>
          <w:b/>
          <w:sz w:val="20"/>
          <w:szCs w:val="20"/>
        </w:rPr>
      </w:pPr>
      <w:r w:rsidRPr="00643D9B">
        <w:rPr>
          <w:rFonts w:cs="Arial"/>
          <w:b/>
          <w:sz w:val="20"/>
          <w:szCs w:val="20"/>
        </w:rPr>
        <w:t>Predlogu je pot</w:t>
      </w:r>
      <w:r w:rsidR="00E917D2" w:rsidRPr="00643D9B">
        <w:rPr>
          <w:rFonts w:cs="Arial"/>
          <w:b/>
          <w:sz w:val="20"/>
          <w:szCs w:val="20"/>
        </w:rPr>
        <w:t>r</w:t>
      </w:r>
      <w:r w:rsidRPr="00643D9B">
        <w:rPr>
          <w:rFonts w:cs="Arial"/>
          <w:b/>
          <w:sz w:val="20"/>
          <w:szCs w:val="20"/>
        </w:rPr>
        <w:t>ebno poleg soglasja kandidata predložiti tudi potrdilo o državljanstvu, ki ni starejše</w:t>
      </w:r>
      <w:r w:rsidR="00E917D2" w:rsidRPr="00643D9B">
        <w:rPr>
          <w:rFonts w:cs="Arial"/>
          <w:b/>
          <w:sz w:val="20"/>
          <w:szCs w:val="20"/>
        </w:rPr>
        <w:t xml:space="preserve"> </w:t>
      </w:r>
      <w:r w:rsidRPr="00643D9B">
        <w:rPr>
          <w:rFonts w:cs="Arial"/>
          <w:b/>
          <w:sz w:val="20"/>
          <w:szCs w:val="20"/>
        </w:rPr>
        <w:t>od 6 mesecev.</w:t>
      </w:r>
    </w:p>
    <w:p w:rsidR="00F836EB" w:rsidRPr="00F836EB" w:rsidRDefault="00F836EB" w:rsidP="00F836EB">
      <w:pPr>
        <w:rPr>
          <w:rFonts w:cs="Arial"/>
          <w:sz w:val="20"/>
          <w:szCs w:val="20"/>
        </w:rPr>
      </w:pPr>
    </w:p>
    <w:p w:rsidR="00F836EB" w:rsidRPr="00F836EB" w:rsidRDefault="00F836EB" w:rsidP="00F836EB">
      <w:pPr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</w:rPr>
        <w:t xml:space="preserve">Pozivamo vas, da na predloženem obrazcu z izpolnjeno in podpisano izjavo kandidata, skupaj z obvezno prilogo, predlagate kandidate za sodnike porotnike in </w:t>
      </w:r>
      <w:r w:rsidRPr="00E917D2">
        <w:rPr>
          <w:rFonts w:cs="Arial"/>
          <w:b/>
          <w:sz w:val="20"/>
          <w:szCs w:val="20"/>
        </w:rPr>
        <w:t>sice</w:t>
      </w:r>
      <w:r w:rsidR="00BA1543">
        <w:rPr>
          <w:rFonts w:cs="Arial"/>
          <w:b/>
          <w:sz w:val="20"/>
          <w:szCs w:val="20"/>
        </w:rPr>
        <w:t xml:space="preserve">r do 14.12.2020 do vključno 12. </w:t>
      </w:r>
      <w:r w:rsidRPr="00E917D2">
        <w:rPr>
          <w:rFonts w:cs="Arial"/>
          <w:b/>
          <w:sz w:val="20"/>
          <w:szCs w:val="20"/>
        </w:rPr>
        <w:t>ure</w:t>
      </w:r>
      <w:r w:rsidRPr="00F836EB">
        <w:rPr>
          <w:rFonts w:cs="Arial"/>
          <w:sz w:val="20"/>
          <w:szCs w:val="20"/>
        </w:rPr>
        <w:t xml:space="preserve"> na elektronski naslov občine </w:t>
      </w:r>
      <w:hyperlink r:id="rId77" w:history="1">
        <w:r w:rsidRPr="00F836EB">
          <w:rPr>
            <w:rStyle w:val="Hiperpovezava"/>
            <w:rFonts w:cs="Arial"/>
            <w:color w:val="auto"/>
            <w:sz w:val="20"/>
            <w:szCs w:val="20"/>
            <w:u w:val="none"/>
          </w:rPr>
          <w:t>obcina@rogaska-slatina.si</w:t>
        </w:r>
      </w:hyperlink>
      <w:r w:rsidRPr="00F836EB">
        <w:rPr>
          <w:rFonts w:cs="Arial"/>
          <w:sz w:val="20"/>
          <w:szCs w:val="20"/>
        </w:rPr>
        <w:t xml:space="preserve"> ali predloge osebno dostavitev v glavno pisarno Občine Rogaška Slatina, Izletniška ulica 2, 3250 Rogaška Slatina.</w:t>
      </w:r>
    </w:p>
    <w:p w:rsidR="00F836EB" w:rsidRPr="00F836EB" w:rsidRDefault="00F836EB" w:rsidP="00F836EB">
      <w:pPr>
        <w:rPr>
          <w:rFonts w:cs="Arial"/>
          <w:sz w:val="20"/>
          <w:szCs w:val="20"/>
        </w:rPr>
      </w:pPr>
    </w:p>
    <w:p w:rsidR="00F836EB" w:rsidRPr="00F836EB" w:rsidRDefault="00F836EB" w:rsidP="00F836EB">
      <w:pPr>
        <w:rPr>
          <w:rFonts w:cs="Arial"/>
          <w:sz w:val="20"/>
          <w:szCs w:val="20"/>
        </w:rPr>
      </w:pPr>
    </w:p>
    <w:p w:rsidR="00F836EB" w:rsidRPr="00F836EB" w:rsidRDefault="00F836EB" w:rsidP="00F836EB">
      <w:pPr>
        <w:rPr>
          <w:rFonts w:cs="Arial"/>
          <w:sz w:val="20"/>
          <w:szCs w:val="20"/>
        </w:rPr>
      </w:pPr>
    </w:p>
    <w:p w:rsidR="00F836EB" w:rsidRPr="00F836EB" w:rsidRDefault="00F836EB" w:rsidP="00F836EB">
      <w:pPr>
        <w:jc w:val="right"/>
        <w:rPr>
          <w:rFonts w:cs="Arial"/>
          <w:sz w:val="20"/>
          <w:szCs w:val="20"/>
        </w:rPr>
      </w:pPr>
    </w:p>
    <w:p w:rsidR="00F836EB" w:rsidRPr="00F836EB" w:rsidRDefault="00F836EB" w:rsidP="00F836EB">
      <w:pPr>
        <w:jc w:val="right"/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</w:rPr>
        <w:t>mag. Andrejka Flucher</w:t>
      </w: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6B5B45" w:rsidRDefault="00F836EB" w:rsidP="00F836EB">
      <w:pPr>
        <w:jc w:val="right"/>
        <w:rPr>
          <w:rFonts w:cs="Arial"/>
          <w:sz w:val="20"/>
          <w:szCs w:val="20"/>
        </w:rPr>
      </w:pPr>
      <w:r w:rsidRPr="00F836EB">
        <w:rPr>
          <w:rFonts w:cs="Arial"/>
          <w:sz w:val="20"/>
          <w:szCs w:val="20"/>
        </w:rPr>
        <w:t xml:space="preserve">Predsednica komisije </w:t>
      </w:r>
      <w:proofErr w:type="spellStart"/>
      <w:r w:rsidRPr="00F836EB">
        <w:rPr>
          <w:rFonts w:cs="Arial"/>
          <w:sz w:val="20"/>
          <w:szCs w:val="20"/>
        </w:rPr>
        <w:t>l.r</w:t>
      </w:r>
      <w:proofErr w:type="spellEnd"/>
      <w:r w:rsidRPr="00F836EB">
        <w:rPr>
          <w:rFonts w:cs="Arial"/>
          <w:sz w:val="20"/>
          <w:szCs w:val="20"/>
        </w:rPr>
        <w:t>.</w:t>
      </w:r>
      <w:r w:rsidR="004F3E7A" w:rsidRPr="00F836EB">
        <w:rPr>
          <w:rFonts w:cs="Arial"/>
          <w:sz w:val="20"/>
          <w:szCs w:val="20"/>
        </w:rPr>
        <w:t xml:space="preserve"> </w:t>
      </w: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0B57F3" w:rsidRDefault="000B57F3" w:rsidP="00E917D2">
      <w:pPr>
        <w:rPr>
          <w:rFonts w:cs="Arial"/>
          <w:sz w:val="20"/>
          <w:szCs w:val="20"/>
        </w:rPr>
      </w:pPr>
    </w:p>
    <w:p w:rsidR="000B57F3" w:rsidRDefault="000B57F3" w:rsidP="00E917D2">
      <w:pPr>
        <w:rPr>
          <w:rFonts w:cs="Arial"/>
          <w:sz w:val="20"/>
          <w:szCs w:val="20"/>
        </w:rPr>
      </w:pPr>
    </w:p>
    <w:p w:rsidR="000B57F3" w:rsidRDefault="000B57F3" w:rsidP="00E917D2">
      <w:pPr>
        <w:rPr>
          <w:rFonts w:cs="Arial"/>
          <w:sz w:val="20"/>
          <w:szCs w:val="20"/>
        </w:rPr>
      </w:pPr>
    </w:p>
    <w:p w:rsidR="000B57F3" w:rsidRDefault="000B57F3" w:rsidP="00E917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Objava: </w:t>
      </w:r>
    </w:p>
    <w:p w:rsidR="000B57F3" w:rsidRDefault="000B57F3" w:rsidP="00E917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Spletna stran občine</w:t>
      </w:r>
    </w:p>
    <w:p w:rsidR="000B57F3" w:rsidRDefault="000B57F3" w:rsidP="00E917D2">
      <w:pPr>
        <w:rPr>
          <w:rFonts w:cs="Arial"/>
          <w:sz w:val="20"/>
          <w:szCs w:val="20"/>
        </w:rPr>
      </w:pPr>
    </w:p>
    <w:p w:rsidR="000B57F3" w:rsidRDefault="000B57F3" w:rsidP="00E917D2">
      <w:pPr>
        <w:rPr>
          <w:rFonts w:cs="Arial"/>
          <w:sz w:val="20"/>
          <w:szCs w:val="20"/>
        </w:rPr>
      </w:pPr>
    </w:p>
    <w:p w:rsidR="000B57F3" w:rsidRDefault="000B57F3" w:rsidP="00E917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Poslano: </w:t>
      </w:r>
    </w:p>
    <w:p w:rsidR="000B57F3" w:rsidRDefault="000B57F3" w:rsidP="00E917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članom Občinskega sveta Občine Rogaška Slatina</w:t>
      </w:r>
    </w:p>
    <w:p w:rsidR="000B57F3" w:rsidRDefault="000B57F3" w:rsidP="00E917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krajevnim skupnostim na območju občine</w:t>
      </w:r>
    </w:p>
    <w:p w:rsidR="000B57F3" w:rsidRDefault="000B57F3" w:rsidP="00E917D2">
      <w:pPr>
        <w:rPr>
          <w:rFonts w:cs="Arial"/>
          <w:sz w:val="20"/>
          <w:szCs w:val="20"/>
        </w:rPr>
      </w:pPr>
    </w:p>
    <w:p w:rsidR="000B57F3" w:rsidRDefault="000B57F3" w:rsidP="00E917D2">
      <w:pPr>
        <w:rPr>
          <w:rFonts w:cs="Arial"/>
          <w:sz w:val="20"/>
          <w:szCs w:val="20"/>
        </w:rPr>
      </w:pPr>
    </w:p>
    <w:p w:rsidR="00E917D2" w:rsidRDefault="00E917D2" w:rsidP="00E917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Priloga: </w:t>
      </w:r>
    </w:p>
    <w:p w:rsidR="00E917D2" w:rsidRDefault="00E917D2" w:rsidP="00E917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obrazec</w:t>
      </w: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BA1543" w:rsidRDefault="00BA1543" w:rsidP="00F836EB">
      <w:pPr>
        <w:jc w:val="right"/>
        <w:rPr>
          <w:rFonts w:cs="Arial"/>
          <w:sz w:val="20"/>
          <w:szCs w:val="20"/>
        </w:rPr>
      </w:pPr>
    </w:p>
    <w:p w:rsidR="00BA1543" w:rsidRDefault="00BA1543" w:rsidP="00F836EB">
      <w:pPr>
        <w:jc w:val="right"/>
        <w:rPr>
          <w:rFonts w:cs="Arial"/>
          <w:sz w:val="20"/>
          <w:szCs w:val="20"/>
        </w:rPr>
      </w:pPr>
    </w:p>
    <w:p w:rsidR="00BA1543" w:rsidRDefault="00BA1543" w:rsidP="00F836EB">
      <w:pPr>
        <w:jc w:val="right"/>
        <w:rPr>
          <w:rFonts w:cs="Arial"/>
          <w:sz w:val="20"/>
          <w:szCs w:val="20"/>
        </w:rPr>
      </w:pPr>
    </w:p>
    <w:p w:rsidR="00BA1543" w:rsidRDefault="00BA1543" w:rsidP="00F836EB">
      <w:pPr>
        <w:jc w:val="right"/>
        <w:rPr>
          <w:rFonts w:cs="Arial"/>
          <w:sz w:val="20"/>
          <w:szCs w:val="20"/>
        </w:rPr>
      </w:pPr>
    </w:p>
    <w:p w:rsidR="00BA1543" w:rsidRDefault="00BA1543" w:rsidP="00F836EB">
      <w:pPr>
        <w:jc w:val="right"/>
        <w:rPr>
          <w:rFonts w:cs="Arial"/>
          <w:sz w:val="20"/>
          <w:szCs w:val="20"/>
        </w:rPr>
      </w:pPr>
    </w:p>
    <w:p w:rsidR="00BA1543" w:rsidRDefault="00BA1543" w:rsidP="00F836EB">
      <w:pPr>
        <w:jc w:val="right"/>
        <w:rPr>
          <w:rFonts w:cs="Arial"/>
          <w:sz w:val="20"/>
          <w:szCs w:val="20"/>
        </w:rPr>
      </w:pPr>
    </w:p>
    <w:p w:rsidR="00BA1543" w:rsidRDefault="00BA1543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A56204" w:rsidRDefault="00A56204" w:rsidP="00F836EB">
      <w:pPr>
        <w:jc w:val="right"/>
        <w:rPr>
          <w:rFonts w:cs="Arial"/>
          <w:sz w:val="20"/>
          <w:szCs w:val="20"/>
        </w:rPr>
      </w:pPr>
    </w:p>
    <w:p w:rsidR="00A56204" w:rsidRDefault="00A56204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F836EB">
      <w:pPr>
        <w:jc w:val="right"/>
        <w:rPr>
          <w:rFonts w:cs="Arial"/>
          <w:sz w:val="20"/>
          <w:szCs w:val="20"/>
        </w:rPr>
      </w:pPr>
    </w:p>
    <w:p w:rsidR="00E917D2" w:rsidRDefault="00E917D2" w:rsidP="00554391">
      <w:pPr>
        <w:jc w:val="center"/>
        <w:rPr>
          <w:rFonts w:cs="Arial"/>
          <w:sz w:val="20"/>
          <w:szCs w:val="20"/>
        </w:rPr>
      </w:pPr>
      <w:bookmarkStart w:id="0" w:name="_GoBack"/>
      <w:bookmarkEnd w:id="0"/>
    </w:p>
    <w:sectPr w:rsidR="00E917D2" w:rsidSect="00017C3C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333"/>
    <w:multiLevelType w:val="hybridMultilevel"/>
    <w:tmpl w:val="FFC010C4"/>
    <w:lvl w:ilvl="0" w:tplc="E2904D1E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E5C"/>
    <w:multiLevelType w:val="hybridMultilevel"/>
    <w:tmpl w:val="AF305918"/>
    <w:lvl w:ilvl="0" w:tplc="E7D2DF50">
      <w:start w:val="4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12EE7"/>
    <w:multiLevelType w:val="hybridMultilevel"/>
    <w:tmpl w:val="67882CF2"/>
    <w:lvl w:ilvl="0" w:tplc="9CAE6D66">
      <w:start w:val="4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B2578"/>
    <w:multiLevelType w:val="hybridMultilevel"/>
    <w:tmpl w:val="2F32DC6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757242"/>
    <w:multiLevelType w:val="hybridMultilevel"/>
    <w:tmpl w:val="D47C2B8E"/>
    <w:lvl w:ilvl="0" w:tplc="7BA4C902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7"/>
    <w:rsid w:val="00013ACA"/>
    <w:rsid w:val="00017C3C"/>
    <w:rsid w:val="00034D7B"/>
    <w:rsid w:val="00037006"/>
    <w:rsid w:val="00064F14"/>
    <w:rsid w:val="000B57F3"/>
    <w:rsid w:val="000F2CB3"/>
    <w:rsid w:val="00136359"/>
    <w:rsid w:val="0014510E"/>
    <w:rsid w:val="0015169B"/>
    <w:rsid w:val="0023739D"/>
    <w:rsid w:val="00250E5C"/>
    <w:rsid w:val="002573C6"/>
    <w:rsid w:val="002F7E07"/>
    <w:rsid w:val="0030366E"/>
    <w:rsid w:val="00347B2C"/>
    <w:rsid w:val="00384FF5"/>
    <w:rsid w:val="00445D94"/>
    <w:rsid w:val="0045057C"/>
    <w:rsid w:val="004F3E7A"/>
    <w:rsid w:val="005159AE"/>
    <w:rsid w:val="00534674"/>
    <w:rsid w:val="00554391"/>
    <w:rsid w:val="00582A0B"/>
    <w:rsid w:val="005A2D1C"/>
    <w:rsid w:val="005C6239"/>
    <w:rsid w:val="00630962"/>
    <w:rsid w:val="00643D9B"/>
    <w:rsid w:val="006B5B45"/>
    <w:rsid w:val="006C2C0B"/>
    <w:rsid w:val="00700636"/>
    <w:rsid w:val="007521C3"/>
    <w:rsid w:val="00763BA6"/>
    <w:rsid w:val="00823FFD"/>
    <w:rsid w:val="0083702A"/>
    <w:rsid w:val="0085108B"/>
    <w:rsid w:val="00893A4E"/>
    <w:rsid w:val="0089744B"/>
    <w:rsid w:val="00897CC7"/>
    <w:rsid w:val="008C6FA0"/>
    <w:rsid w:val="0090682C"/>
    <w:rsid w:val="00913488"/>
    <w:rsid w:val="00941930"/>
    <w:rsid w:val="009F3B18"/>
    <w:rsid w:val="00A13CE0"/>
    <w:rsid w:val="00A56204"/>
    <w:rsid w:val="00A902BE"/>
    <w:rsid w:val="00AD10D8"/>
    <w:rsid w:val="00B146E8"/>
    <w:rsid w:val="00B21AE0"/>
    <w:rsid w:val="00B51312"/>
    <w:rsid w:val="00B9589A"/>
    <w:rsid w:val="00BA1543"/>
    <w:rsid w:val="00BC1A9A"/>
    <w:rsid w:val="00BD1FA1"/>
    <w:rsid w:val="00C35BC0"/>
    <w:rsid w:val="00DA247F"/>
    <w:rsid w:val="00DF22AB"/>
    <w:rsid w:val="00E6310D"/>
    <w:rsid w:val="00E86E0C"/>
    <w:rsid w:val="00E917D2"/>
    <w:rsid w:val="00ED0B48"/>
    <w:rsid w:val="00F02306"/>
    <w:rsid w:val="00F04437"/>
    <w:rsid w:val="00F836EB"/>
    <w:rsid w:val="00FB2F1A"/>
    <w:rsid w:val="00FD647F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0F25"/>
  <w15:docId w15:val="{B372C78E-CC28-4C14-81AA-9AC49CE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17D2"/>
    <w:pPr>
      <w:contextualSpacing/>
      <w:jc w:val="both"/>
    </w:pPr>
    <w:rPr>
      <w:rFonts w:ascii="Arial" w:hAnsi="Arial"/>
      <w:sz w:val="21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47B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47B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7B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7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47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7B2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7B2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7B2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7B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qFormat/>
    <w:rsid w:val="00347B2C"/>
    <w:rPr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47B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47B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7B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7B2C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7B2C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7B2C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7B2C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7B2C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7B2C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347B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347B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7B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347B2C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7B2C"/>
    <w:rPr>
      <w:b/>
      <w:bCs/>
    </w:rPr>
  </w:style>
  <w:style w:type="character" w:styleId="Poudarek">
    <w:name w:val="Emphasis"/>
    <w:basedOn w:val="Privzetapisavaodstavka"/>
    <w:uiPriority w:val="20"/>
    <w:qFormat/>
    <w:rsid w:val="00347B2C"/>
    <w:rPr>
      <w:rFonts w:asciiTheme="minorHAnsi" w:hAnsiTheme="minorHAnsi"/>
      <w:b/>
      <w:i/>
      <w:iCs/>
    </w:rPr>
  </w:style>
  <w:style w:type="paragraph" w:styleId="Odstavekseznama">
    <w:name w:val="List Paragraph"/>
    <w:basedOn w:val="Navaden"/>
    <w:uiPriority w:val="34"/>
    <w:qFormat/>
    <w:rsid w:val="00347B2C"/>
    <w:pPr>
      <w:ind w:left="720"/>
    </w:pPr>
  </w:style>
  <w:style w:type="paragraph" w:styleId="Citat">
    <w:name w:val="Quote"/>
    <w:basedOn w:val="Navaden"/>
    <w:next w:val="Navaden"/>
    <w:link w:val="CitatZnak"/>
    <w:uiPriority w:val="29"/>
    <w:qFormat/>
    <w:rsid w:val="00347B2C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47B2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47B2C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47B2C"/>
    <w:rPr>
      <w:b/>
      <w:i/>
      <w:sz w:val="24"/>
    </w:rPr>
  </w:style>
  <w:style w:type="character" w:styleId="Neenpoudarek">
    <w:name w:val="Subtle Emphasis"/>
    <w:uiPriority w:val="19"/>
    <w:qFormat/>
    <w:rsid w:val="00347B2C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347B2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347B2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347B2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347B2C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7B2C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C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CC7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5169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30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Privzetapisavaodstavka"/>
    <w:link w:val="Bodytext3"/>
    <w:rsid w:val="00ED0B48"/>
    <w:rPr>
      <w:rFonts w:ascii="Arial" w:eastAsia="Arial" w:hAnsi="Arial" w:cs="Arial"/>
      <w:b/>
      <w:bCs/>
      <w:spacing w:val="-3"/>
      <w:sz w:val="13"/>
      <w:szCs w:val="13"/>
      <w:shd w:val="clear" w:color="auto" w:fill="FFFFFF"/>
    </w:rPr>
  </w:style>
  <w:style w:type="character" w:customStyle="1" w:styleId="Bodytext310ptNotBoldSpacing0ptExact">
    <w:name w:val="Body text (3) + 10 pt;Not Bold;Spacing 0 pt Exact"/>
    <w:basedOn w:val="Bodytext3Exact"/>
    <w:rsid w:val="00ED0B48"/>
    <w:rPr>
      <w:rFonts w:ascii="Arial" w:eastAsia="Arial" w:hAnsi="Arial" w:cs="Arial"/>
      <w:b/>
      <w:bCs/>
      <w:color w:val="000000"/>
      <w:spacing w:val="-7"/>
      <w:w w:val="100"/>
      <w:position w:val="0"/>
      <w:sz w:val="20"/>
      <w:szCs w:val="20"/>
      <w:shd w:val="clear" w:color="auto" w:fill="FFFFFF"/>
      <w:lang w:val="sl-SI"/>
    </w:rPr>
  </w:style>
  <w:style w:type="character" w:customStyle="1" w:styleId="BodytextExact">
    <w:name w:val="Body text Exact"/>
    <w:basedOn w:val="Privzetapisavaodstavka"/>
    <w:link w:val="Telobesedila1"/>
    <w:rsid w:val="00ED0B48"/>
    <w:rPr>
      <w:rFonts w:ascii="Arial" w:eastAsia="Arial" w:hAnsi="Arial" w:cs="Arial"/>
      <w:spacing w:val="-7"/>
      <w:sz w:val="20"/>
      <w:szCs w:val="20"/>
      <w:shd w:val="clear" w:color="auto" w:fill="FFFFFF"/>
    </w:rPr>
  </w:style>
  <w:style w:type="paragraph" w:customStyle="1" w:styleId="Bodytext3">
    <w:name w:val="Body text (3)"/>
    <w:basedOn w:val="Navaden"/>
    <w:link w:val="Bodytext3Exact"/>
    <w:rsid w:val="00ED0B48"/>
    <w:pPr>
      <w:widowControl w:val="0"/>
      <w:shd w:val="clear" w:color="auto" w:fill="FFFFFF"/>
      <w:spacing w:line="250" w:lineRule="exact"/>
      <w:contextualSpacing w:val="0"/>
    </w:pPr>
    <w:rPr>
      <w:rFonts w:eastAsia="Arial" w:cs="Arial"/>
      <w:b/>
      <w:bCs/>
      <w:spacing w:val="-3"/>
      <w:sz w:val="13"/>
      <w:szCs w:val="13"/>
      <w:lang w:eastAsia="en-US"/>
    </w:rPr>
  </w:style>
  <w:style w:type="paragraph" w:customStyle="1" w:styleId="Telobesedila1">
    <w:name w:val="Telo besedila1"/>
    <w:basedOn w:val="Navaden"/>
    <w:link w:val="BodytextExact"/>
    <w:rsid w:val="00ED0B48"/>
    <w:pPr>
      <w:widowControl w:val="0"/>
      <w:shd w:val="clear" w:color="auto" w:fill="FFFFFF"/>
      <w:spacing w:line="216" w:lineRule="exact"/>
      <w:contextualSpacing w:val="0"/>
      <w:jc w:val="left"/>
    </w:pPr>
    <w:rPr>
      <w:rFonts w:eastAsia="Arial" w:cs="Arial"/>
      <w:spacing w:val="-7"/>
      <w:sz w:val="20"/>
      <w:szCs w:val="20"/>
      <w:lang w:eastAsia="en-US"/>
    </w:rPr>
  </w:style>
  <w:style w:type="character" w:customStyle="1" w:styleId="Bodytext2Exact">
    <w:name w:val="Body text (2) Exact"/>
    <w:basedOn w:val="Privzetapisavaodstavka"/>
    <w:link w:val="Bodytext2"/>
    <w:rsid w:val="00ED0B48"/>
    <w:rPr>
      <w:rFonts w:ascii="Arial" w:eastAsia="Arial" w:hAnsi="Arial" w:cs="Arial"/>
      <w:b/>
      <w:bCs/>
      <w:spacing w:val="-5"/>
      <w:sz w:val="18"/>
      <w:szCs w:val="18"/>
      <w:shd w:val="clear" w:color="auto" w:fill="FFFFFF"/>
    </w:rPr>
  </w:style>
  <w:style w:type="character" w:customStyle="1" w:styleId="BodytextSpacing2ptExact">
    <w:name w:val="Body text + Spacing 2 pt Exact"/>
    <w:basedOn w:val="BodytextExact"/>
    <w:rsid w:val="00ED0B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0"/>
      <w:szCs w:val="20"/>
      <w:u w:val="none"/>
      <w:shd w:val="clear" w:color="auto" w:fill="FFFFFF"/>
      <w:lang w:val="sl-SI"/>
    </w:rPr>
  </w:style>
  <w:style w:type="paragraph" w:customStyle="1" w:styleId="Bodytext2">
    <w:name w:val="Body text (2)"/>
    <w:basedOn w:val="Navaden"/>
    <w:link w:val="Bodytext2Exact"/>
    <w:rsid w:val="00ED0B48"/>
    <w:pPr>
      <w:widowControl w:val="0"/>
      <w:shd w:val="clear" w:color="auto" w:fill="FFFFFF"/>
      <w:spacing w:line="250" w:lineRule="exact"/>
      <w:contextualSpacing w:val="0"/>
    </w:pPr>
    <w:rPr>
      <w:rFonts w:eastAsia="Arial" w:cs="Arial"/>
      <w:b/>
      <w:bCs/>
      <w:spacing w:val="-5"/>
      <w:sz w:val="18"/>
      <w:szCs w:val="18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FF2DFF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44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6210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7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x-fin-lex.si/Dokument/Podrobnosti?rootEntityId=aE_b93bdc5d-b5a9-46f2-9b8a-664661e9e910" TargetMode="External"/><Relationship Id="rId18" Type="http://schemas.openxmlformats.org/officeDocument/2006/relationships/hyperlink" Target="https://www.tax-fin-lex.si/Dokument/Podrobnosti?rootEntityId=aE_1516e566-5dd4-49a2-937f-fbd58e5d17b6" TargetMode="External"/><Relationship Id="rId26" Type="http://schemas.openxmlformats.org/officeDocument/2006/relationships/hyperlink" Target="https://www.tax-fin-lex.si/Dokument/Podrobnosti?rootEntityId=2e46bdad-340a-4ba5-868b-d4f451251017" TargetMode="External"/><Relationship Id="rId39" Type="http://schemas.openxmlformats.org/officeDocument/2006/relationships/hyperlink" Target="https://www.tax-fin-lex.si/Dokument/Podrobnosti?rootEntityId=aE_f7da544b-f2b8-427d-8c64-2d8edf923ae6" TargetMode="External"/><Relationship Id="rId21" Type="http://schemas.openxmlformats.org/officeDocument/2006/relationships/hyperlink" Target="https://www.tax-fin-lex.si/Dokument/Podrobnosti?rootEntityId=c9efa69a-86b2-450f-9984-dee78e1910ce" TargetMode="External"/><Relationship Id="rId34" Type="http://schemas.openxmlformats.org/officeDocument/2006/relationships/hyperlink" Target="https://www.tax-fin-lex.si/Dokument/Podrobnosti?rootEntityId=d1309f9f-04a2-42f3-9e20-5e9f36caadff" TargetMode="External"/><Relationship Id="rId42" Type="http://schemas.openxmlformats.org/officeDocument/2006/relationships/hyperlink" Target="https://www.tax-fin-lex.si/Dokument/Podrobnosti?rootEntityId=aE_d6b37449-98f3-4a70-b37a-c7d8433901cf" TargetMode="External"/><Relationship Id="rId47" Type="http://schemas.openxmlformats.org/officeDocument/2006/relationships/hyperlink" Target="https://www.tax-fin-lex.si/Dokument/Podrobnosti?rootEntityId=aE_d268beab-d92a-4299-87dd-0a11667229eb" TargetMode="External"/><Relationship Id="rId50" Type="http://schemas.openxmlformats.org/officeDocument/2006/relationships/hyperlink" Target="https://www.tax-fin-lex.si/Dokument/Podrobnosti?rootEntityId=aE_642de7eb-26a2-4b8b-b6bc-2190ed17f81f" TargetMode="External"/><Relationship Id="rId55" Type="http://schemas.openxmlformats.org/officeDocument/2006/relationships/hyperlink" Target="https://www.tax-fin-lex.si/Dokument/Podrobnosti?rootEntityId=cd214a79-6658-4a56-ba34-180216497f22" TargetMode="External"/><Relationship Id="rId63" Type="http://schemas.openxmlformats.org/officeDocument/2006/relationships/hyperlink" Target="https://www.tax-fin-lex.si/Dokument/Podrobnosti?rootEntityId=5f0085c9-0a61-454b-9cba-c61ae881a9a7" TargetMode="External"/><Relationship Id="rId68" Type="http://schemas.openxmlformats.org/officeDocument/2006/relationships/hyperlink" Target="https://www.tax-fin-lex.si/Dokument/Podrobnosti?rootEntityId=7f84581b-7480-41d8-8b7f-7ab096d7ce69" TargetMode="External"/><Relationship Id="rId76" Type="http://schemas.openxmlformats.org/officeDocument/2006/relationships/hyperlink" Target="https://www.tax-fin-lex.si/Dokument/Podrobnosti?rootEntityId=2d18d057-d2f3-4dae-bb3c-d59f1f74310b" TargetMode="External"/><Relationship Id="rId7" Type="http://schemas.openxmlformats.org/officeDocument/2006/relationships/hyperlink" Target="https://www.tax-fin-lex.si/Dokument/Podrobnosti?rootEntityId=aE_3c29dec4-c4b6-4c07-9a09-93de68a5184a" TargetMode="External"/><Relationship Id="rId71" Type="http://schemas.openxmlformats.org/officeDocument/2006/relationships/hyperlink" Target="https://www.tax-fin-lex.si/Dokument/Podrobnosti?rootEntityId=12704032-b5b1-4a15-bce1-25efa2c12ca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x-fin-lex.si/Dokument/Podrobnosti?rootEntityId=aE_3f7d251c-3022-4b70-b0de-2599993ef879" TargetMode="External"/><Relationship Id="rId29" Type="http://schemas.openxmlformats.org/officeDocument/2006/relationships/hyperlink" Target="https://www.tax-fin-lex.si/Dokument/Podrobnosti?rootEntityId=1d1c2ba5-0437-4c6d-a941-a8c155684354" TargetMode="External"/><Relationship Id="rId11" Type="http://schemas.openxmlformats.org/officeDocument/2006/relationships/hyperlink" Target="https://www.tax-fin-lex.si/Dokument/Podrobnosti?rootEntityId=aE_5c74e58b-cd8e-48f3-8a62-27a6235b72ec" TargetMode="External"/><Relationship Id="rId24" Type="http://schemas.openxmlformats.org/officeDocument/2006/relationships/hyperlink" Target="https://www.tax-fin-lex.si/Dokument/Podrobnosti?rootEntityId=344dbf26-2cae-46ec-8a1a-92700d489b3c" TargetMode="External"/><Relationship Id="rId32" Type="http://schemas.openxmlformats.org/officeDocument/2006/relationships/hyperlink" Target="https://www.tax-fin-lex.si/Dokument/Podrobnosti?rootEntityId=d15d79ef-e86d-456c-bfa9-ef83de6ed546" TargetMode="External"/><Relationship Id="rId37" Type="http://schemas.openxmlformats.org/officeDocument/2006/relationships/hyperlink" Target="https://www.tax-fin-lex.si/Dokument/Podrobnosti?rootEntityId=aE_4df46b9f-7709-4eb0-b869-942b98589de3" TargetMode="External"/><Relationship Id="rId40" Type="http://schemas.openxmlformats.org/officeDocument/2006/relationships/hyperlink" Target="https://www.tax-fin-lex.si/Dokument/Podrobnosti?rootEntityId=aE_fb926e1a-5ad3-4fab-945d-65d855b5c4e8" TargetMode="External"/><Relationship Id="rId45" Type="http://schemas.openxmlformats.org/officeDocument/2006/relationships/hyperlink" Target="https://www.tax-fin-lex.si/Dokument/Podrobnosti?rootEntityId=aE_76db1658-8cb5-4ccb-b316-1dd4622c839b" TargetMode="External"/><Relationship Id="rId53" Type="http://schemas.openxmlformats.org/officeDocument/2006/relationships/hyperlink" Target="https://www.tax-fin-lex.si/Dokument/Podrobnosti?rootEntityId=aE_af222788-07da-4f7b-a828-4c01f560d182" TargetMode="External"/><Relationship Id="rId58" Type="http://schemas.openxmlformats.org/officeDocument/2006/relationships/hyperlink" Target="https://www.tax-fin-lex.si/Dokument/Podrobnosti?rootEntityId=5ae0b6fb-a4b0-4b92-ae31-57d6b800e95c" TargetMode="External"/><Relationship Id="rId66" Type="http://schemas.openxmlformats.org/officeDocument/2006/relationships/hyperlink" Target="https://www.tax-fin-lex.si/Dokument/Podrobnosti?rootEntityId=1c7b2764-f2af-47d3-993e-35d22ae7dd67" TargetMode="External"/><Relationship Id="rId74" Type="http://schemas.openxmlformats.org/officeDocument/2006/relationships/hyperlink" Target="https://www.tax-fin-lex.si/Dokument/Podrobnosti?rootEntityId=b0edc9af-aa19-4bfe-a00f-3d51443159f3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www.tax-fin-lex.si/Dokument/Podrobnosti?rootEntityId=c668a026-b0f1-4c2c-8c00-80bb923777d9" TargetMode="External"/><Relationship Id="rId10" Type="http://schemas.openxmlformats.org/officeDocument/2006/relationships/hyperlink" Target="https://www.tax-fin-lex.si/Dokument/Podrobnosti?rootEntityId=aE_3522f00d-e6c5-4a71-96bd-533da56ca19a" TargetMode="External"/><Relationship Id="rId19" Type="http://schemas.openxmlformats.org/officeDocument/2006/relationships/hyperlink" Target="https://www.tax-fin-lex.si/Dokument/Podrobnosti?rootEntityId=aE_7381ee7a-418e-4695-9101-d3462e41011c" TargetMode="External"/><Relationship Id="rId31" Type="http://schemas.openxmlformats.org/officeDocument/2006/relationships/hyperlink" Target="https://www.tax-fin-lex.si/Dokument/Podrobnosti?rootEntityId=08b129c3-378d-4e71-bef2-dda923c342c3" TargetMode="External"/><Relationship Id="rId44" Type="http://schemas.openxmlformats.org/officeDocument/2006/relationships/hyperlink" Target="https://www.tax-fin-lex.si/Dokument/Podrobnosti?rootEntityId=aE_e6e66972-d733-49a1-8cd5-4cde259fa2ec" TargetMode="External"/><Relationship Id="rId52" Type="http://schemas.openxmlformats.org/officeDocument/2006/relationships/hyperlink" Target="https://www.tax-fin-lex.si/Dokument/Podrobnosti?rootEntityId=aE_8cbc48a5-6f65-4358-8bbf-b19e913c96ae" TargetMode="External"/><Relationship Id="rId60" Type="http://schemas.openxmlformats.org/officeDocument/2006/relationships/hyperlink" Target="https://www.tax-fin-lex.si/Dokument/Podrobnosti?rootEntityId=df9c7909-6d32-4509-98c4-963555342fd3" TargetMode="External"/><Relationship Id="rId65" Type="http://schemas.openxmlformats.org/officeDocument/2006/relationships/hyperlink" Target="https://www.tax-fin-lex.si/Dokument/Podrobnosti?rootEntityId=1df8dcbc-19d3-4665-84a6-c3487fb875ca" TargetMode="External"/><Relationship Id="rId73" Type="http://schemas.openxmlformats.org/officeDocument/2006/relationships/hyperlink" Target="https://www.tax-fin-lex.si/Dokument/Podrobnosti?rootEntityId=bfdf2be2-bb3a-4f75-845a-f5f05b29d84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x-fin-lex.si/Dokument/Podrobnosti?rootEntityId=aE_b01cb03d-32ea-43f9-a922-7fb4ee020101" TargetMode="External"/><Relationship Id="rId14" Type="http://schemas.openxmlformats.org/officeDocument/2006/relationships/hyperlink" Target="https://www.tax-fin-lex.si/Dokument/Podrobnosti?rootEntityId=aE_dd033d83-cbee-4629-9325-2e56b8237ed2" TargetMode="External"/><Relationship Id="rId22" Type="http://schemas.openxmlformats.org/officeDocument/2006/relationships/hyperlink" Target="https://www.tax-fin-lex.si/Dokument/Podrobnosti?rootEntityId=9ba1c004-f858-478c-af0c-d2883eb82245" TargetMode="External"/><Relationship Id="rId27" Type="http://schemas.openxmlformats.org/officeDocument/2006/relationships/hyperlink" Target="https://www.tax-fin-lex.si/Dokument/Podrobnosti?rootEntityId=0b19ea63-4a62-4dba-b2be-62849ff0665e" TargetMode="External"/><Relationship Id="rId30" Type="http://schemas.openxmlformats.org/officeDocument/2006/relationships/hyperlink" Target="https://www.tax-fin-lex.si/Dokument/Podrobnosti?rootEntityId=9e1968c1-8a92-43fe-a408-e295408c5977" TargetMode="External"/><Relationship Id="rId35" Type="http://schemas.openxmlformats.org/officeDocument/2006/relationships/hyperlink" Target="https://www.tax-fin-lex.si/Dokument/Podrobnosti?rootEntityId=E_1907bd3d-499e-4ed5-92c7-3e17cdcf65a0" TargetMode="External"/><Relationship Id="rId43" Type="http://schemas.openxmlformats.org/officeDocument/2006/relationships/hyperlink" Target="https://www.tax-fin-lex.si/Dokument/Podrobnosti?rootEntityId=aE_886db9f8-5f08-4852-b20c-30854080560e" TargetMode="External"/><Relationship Id="rId48" Type="http://schemas.openxmlformats.org/officeDocument/2006/relationships/hyperlink" Target="https://www.tax-fin-lex.si/Dokument/Podrobnosti?rootEntityId=aE_6d7a6bde-376a-4dd4-9b22-6f1307dc9e0a" TargetMode="External"/><Relationship Id="rId56" Type="http://schemas.openxmlformats.org/officeDocument/2006/relationships/hyperlink" Target="https://www.tax-fin-lex.si/Dokument/Podrobnosti?rootEntityId=d69294f0-1eed-4294-a0c4-d76140e0bbb1" TargetMode="External"/><Relationship Id="rId64" Type="http://schemas.openxmlformats.org/officeDocument/2006/relationships/hyperlink" Target="https://www.tax-fin-lex.si/Dokument/Podrobnosti?rootEntityId=7df785f8-8762-47a8-842e-f285880ebbcc" TargetMode="External"/><Relationship Id="rId69" Type="http://schemas.openxmlformats.org/officeDocument/2006/relationships/hyperlink" Target="https://www.tax-fin-lex.si/Dokument/Podrobnosti?rootEntityId=b617c6ab-1b86-4df3-b153-4539772a486d" TargetMode="External"/><Relationship Id="rId77" Type="http://schemas.openxmlformats.org/officeDocument/2006/relationships/hyperlink" Target="mailto:obcina@rogaska-slatina.si" TargetMode="External"/><Relationship Id="rId8" Type="http://schemas.openxmlformats.org/officeDocument/2006/relationships/hyperlink" Target="https://www.tax-fin-lex.si/Dokument/Podrobnosti?rootEntityId=aE_99d5f425-5eba-4c40-a7d5-b1de34c5c915" TargetMode="External"/><Relationship Id="rId51" Type="http://schemas.openxmlformats.org/officeDocument/2006/relationships/hyperlink" Target="https://www.tax-fin-lex.si/Dokument/Podrobnosti?rootEntityId=d1b9e296-71a8-4fc9-8524-9a1d602b2369" TargetMode="External"/><Relationship Id="rId72" Type="http://schemas.openxmlformats.org/officeDocument/2006/relationships/hyperlink" Target="https://www.tax-fin-lex.si/Dokument/Podrobnosti?rootEntityId=80b480f4-4332-42b0-8fe0-8b13e577b0f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ax-fin-lex.si/Dokument/Podrobnosti?rootEntityId=aE_a3b8a296-7f18-4130-8149-31e4748672e0" TargetMode="External"/><Relationship Id="rId17" Type="http://schemas.openxmlformats.org/officeDocument/2006/relationships/hyperlink" Target="https://www.tax-fin-lex.si/Dokument/Podrobnosti?rootEntityId=aE_283e9116-4c75-4cd9-82ee-2362fcb37392" TargetMode="External"/><Relationship Id="rId25" Type="http://schemas.openxmlformats.org/officeDocument/2006/relationships/hyperlink" Target="https://www.tax-fin-lex.si/Dokument/Podrobnosti?rootEntityId=d5ebfc55-bafe-4b8c-a138-9614a8b9daee" TargetMode="External"/><Relationship Id="rId33" Type="http://schemas.openxmlformats.org/officeDocument/2006/relationships/hyperlink" Target="https://www.tax-fin-lex.si/Dokument/Podrobnosti?rootEntityId=87bf4cfd-2f72-460c-99d1-ef644b2135c4" TargetMode="External"/><Relationship Id="rId38" Type="http://schemas.openxmlformats.org/officeDocument/2006/relationships/hyperlink" Target="https://www.tax-fin-lex.si/Dokument/Podrobnosti?rootEntityId=aE_a33922bf-a388-4d8e-8912-ea02a4c00935" TargetMode="External"/><Relationship Id="rId46" Type="http://schemas.openxmlformats.org/officeDocument/2006/relationships/hyperlink" Target="https://www.tax-fin-lex.si/Dokument/Podrobnosti?rootEntityId=aE_ab22de24-86d2-4ef3-8a7d-2d832cdba1f2" TargetMode="External"/><Relationship Id="rId59" Type="http://schemas.openxmlformats.org/officeDocument/2006/relationships/hyperlink" Target="https://www.tax-fin-lex.si/Dokument/Podrobnosti?rootEntityId=e8851acf-9018-4979-a636-aa6fde6b0817" TargetMode="External"/><Relationship Id="rId67" Type="http://schemas.openxmlformats.org/officeDocument/2006/relationships/hyperlink" Target="https://www.tax-fin-lex.si/Dokument/Podrobnosti?rootEntityId=219c456e-d9af-4976-bb0d-c6284c985862" TargetMode="External"/><Relationship Id="rId20" Type="http://schemas.openxmlformats.org/officeDocument/2006/relationships/hyperlink" Target="https://www.tax-fin-lex.si/Dokument/Podrobnosti?rootEntityId=3fe14f5c-129c-48eb-9aed-d30c953e41a5" TargetMode="External"/><Relationship Id="rId41" Type="http://schemas.openxmlformats.org/officeDocument/2006/relationships/hyperlink" Target="https://www.tax-fin-lex.si/Dokument/Podrobnosti?rootEntityId=aE_f23d1959-9271-4280-a512-bd01eec1f21a" TargetMode="External"/><Relationship Id="rId54" Type="http://schemas.openxmlformats.org/officeDocument/2006/relationships/hyperlink" Target="https://www.tax-fin-lex.si/Dokument/Podrobnosti?rootEntityId=aE_7281c5a4-c38e-450b-80ff-f8fa8329b945" TargetMode="External"/><Relationship Id="rId62" Type="http://schemas.openxmlformats.org/officeDocument/2006/relationships/hyperlink" Target="https://www.tax-fin-lex.si/Dokument/Podrobnosti?rootEntityId=b0cf96ee-8f53-4663-824c-e500beffbcfb" TargetMode="External"/><Relationship Id="rId70" Type="http://schemas.openxmlformats.org/officeDocument/2006/relationships/hyperlink" Target="https://www.tax-fin-lex.si/Dokument/Podrobnosti?rootEntityId=b5f6c7e3-d8ea-4c49-90a3-55e1a6341247" TargetMode="External"/><Relationship Id="rId75" Type="http://schemas.openxmlformats.org/officeDocument/2006/relationships/hyperlink" Target="https://www.tax-fin-lex.si/Dokument/Podrobnosti?rootEntityId=1d5b52d7-08fd-4324-8e4b-649c7d5c82d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x-fin-lex.si/Dokument/Podrobnosti?rootEntityId=E_9d13f210-103c-49c2-9467-eec631e3f442" TargetMode="External"/><Relationship Id="rId15" Type="http://schemas.openxmlformats.org/officeDocument/2006/relationships/hyperlink" Target="https://www.tax-fin-lex.si/Dokument/Podrobnosti?rootEntityId=aE_eef08f79-9273-4e13-b1e9-a5b6f102fc4f" TargetMode="External"/><Relationship Id="rId23" Type="http://schemas.openxmlformats.org/officeDocument/2006/relationships/hyperlink" Target="https://www.tax-fin-lex.si/Dokument/Podrobnosti?rootEntityId=40c5f291-78fc-4697-ad69-c7795c1d3172" TargetMode="External"/><Relationship Id="rId28" Type="http://schemas.openxmlformats.org/officeDocument/2006/relationships/hyperlink" Target="https://www.tax-fin-lex.si/Dokument/Podrobnosti?rootEntityId=c9b80043-1027-4167-897a-41c9b8476bae" TargetMode="External"/><Relationship Id="rId36" Type="http://schemas.openxmlformats.org/officeDocument/2006/relationships/hyperlink" Target="https://www.tax-fin-lex.si/Dokument/Podrobnosti?rootEntityId=aE_39486242-8aaf-4946-9196-cd590c1131b8" TargetMode="External"/><Relationship Id="rId49" Type="http://schemas.openxmlformats.org/officeDocument/2006/relationships/hyperlink" Target="https://www.tax-fin-lex.si/Dokument/Podrobnosti?rootEntityId=aE_7c19e36e-825c-4d62-a0e7-1cdbcdef9130" TargetMode="External"/><Relationship Id="rId57" Type="http://schemas.openxmlformats.org/officeDocument/2006/relationships/hyperlink" Target="https://www.tax-fin-lex.si/Dokument/Podrobnosti?rootEntityId=7ada1f6f-ee23-4c6a-9a9a-c71acc0ae7b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Podgoršek</dc:creator>
  <cp:lastModifiedBy>Petra Gašparić</cp:lastModifiedBy>
  <cp:revision>6</cp:revision>
  <cp:lastPrinted>2020-11-24T12:25:00Z</cp:lastPrinted>
  <dcterms:created xsi:type="dcterms:W3CDTF">2020-11-27T06:57:00Z</dcterms:created>
  <dcterms:modified xsi:type="dcterms:W3CDTF">2020-11-30T09:04:00Z</dcterms:modified>
</cp:coreProperties>
</file>