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87CA" w14:textId="77777777" w:rsidR="00C06833" w:rsidRPr="00581536" w:rsidRDefault="00CD7A0B" w:rsidP="00C06833">
      <w:pPr>
        <w:spacing w:before="100" w:beforeAutospacing="1" w:after="100" w:afterAutospacing="1" w:line="240" w:lineRule="auto"/>
        <w:jc w:val="both"/>
        <w:outlineLvl w:val="1"/>
        <w:rPr>
          <w:rFonts w:ascii="Arial" w:hAnsi="Arial" w:cs="Arial"/>
          <w:b/>
          <w:sz w:val="28"/>
          <w:szCs w:val="28"/>
        </w:rPr>
      </w:pPr>
      <w:r>
        <w:rPr>
          <w:rFonts w:ascii="Arial" w:hAnsi="Arial" w:cs="Arial"/>
          <w:b/>
          <w:sz w:val="28"/>
          <w:szCs w:val="28"/>
        </w:rPr>
        <w:t xml:space="preserve">OBVESTILO CENTRA ZA SOCIALNO DELO CELJE - </w:t>
      </w:r>
      <w:r w:rsidR="00C06833" w:rsidRPr="00994D00">
        <w:rPr>
          <w:rFonts w:ascii="Arial" w:hAnsi="Arial" w:cs="Arial"/>
          <w:b/>
          <w:sz w:val="28"/>
          <w:szCs w:val="28"/>
        </w:rPr>
        <w:t>ENERGETSKI DODATEK</w:t>
      </w:r>
    </w:p>
    <w:p w14:paraId="762E4A37" w14:textId="77777777" w:rsidR="009A0ED6" w:rsidRPr="009A0ED6" w:rsidRDefault="009A0ED6" w:rsidP="00C06833">
      <w:pPr>
        <w:spacing w:before="100" w:beforeAutospacing="1" w:after="100" w:afterAutospacing="1" w:line="240" w:lineRule="auto"/>
        <w:jc w:val="both"/>
        <w:outlineLvl w:val="1"/>
        <w:rPr>
          <w:rFonts w:ascii="Arial" w:hAnsi="Arial" w:cs="Arial"/>
        </w:rPr>
      </w:pPr>
      <w:r w:rsidRPr="009A0ED6">
        <w:rPr>
          <w:rFonts w:ascii="Arial" w:hAnsi="Arial" w:cs="Arial"/>
        </w:rPr>
        <w:t xml:space="preserve">Državni zbor je sprejel </w:t>
      </w:r>
      <w:r w:rsidRPr="009A0ED6">
        <w:rPr>
          <w:rFonts w:ascii="Arial" w:hAnsi="Arial" w:cs="Arial"/>
          <w:b/>
        </w:rPr>
        <w:t>Zakon o začasnih ukrepih za odpravo posledic draginje za najbolj ranljive skupine prebivalstva (ZZOUPD)</w:t>
      </w:r>
      <w:r w:rsidRPr="009A0ED6">
        <w:rPr>
          <w:rFonts w:ascii="Arial" w:hAnsi="Arial" w:cs="Arial"/>
        </w:rPr>
        <w:t xml:space="preserve">, ki gospodinjstvom z nizkimi dohodki namenja enkratni energetski dodatek (dodatek) v višini 200 evrov, pri čemer se višina dodatka </w:t>
      </w:r>
      <w:r w:rsidR="00735ABD">
        <w:rPr>
          <w:rFonts w:ascii="Arial" w:hAnsi="Arial" w:cs="Arial"/>
        </w:rPr>
        <w:t xml:space="preserve">določi </w:t>
      </w:r>
      <w:r w:rsidRPr="009A0ED6">
        <w:rPr>
          <w:rFonts w:ascii="Arial" w:hAnsi="Arial" w:cs="Arial"/>
        </w:rPr>
        <w:t xml:space="preserve"> glede na število </w:t>
      </w:r>
      <w:r w:rsidR="00735ABD">
        <w:rPr>
          <w:rFonts w:ascii="Arial" w:hAnsi="Arial" w:cs="Arial"/>
        </w:rPr>
        <w:t xml:space="preserve">družinskih članov. </w:t>
      </w:r>
      <w:r w:rsidRPr="009A0ED6">
        <w:rPr>
          <w:rFonts w:ascii="Arial" w:hAnsi="Arial" w:cs="Arial"/>
        </w:rPr>
        <w:t xml:space="preserve"> </w:t>
      </w:r>
    </w:p>
    <w:p w14:paraId="68E20728" w14:textId="77777777" w:rsidR="009A0ED6" w:rsidRPr="00581536" w:rsidRDefault="009A0ED6" w:rsidP="00C06833">
      <w:pPr>
        <w:spacing w:before="100" w:beforeAutospacing="1" w:after="100" w:afterAutospacing="1" w:line="240" w:lineRule="auto"/>
        <w:jc w:val="both"/>
        <w:outlineLvl w:val="1"/>
        <w:rPr>
          <w:rFonts w:ascii="Arial" w:hAnsi="Arial" w:cs="Arial"/>
          <w:i/>
        </w:rPr>
      </w:pPr>
      <w:r w:rsidRPr="00581536">
        <w:rPr>
          <w:rFonts w:ascii="Arial" w:hAnsi="Arial" w:cs="Arial"/>
          <w:i/>
        </w:rPr>
        <w:t>Višina energetskega dodatka znaša:</w:t>
      </w:r>
    </w:p>
    <w:p w14:paraId="42396804" w14:textId="77777777" w:rsidR="009A0ED6" w:rsidRPr="009A0ED6" w:rsidRDefault="009A0ED6" w:rsidP="00C06833">
      <w:pPr>
        <w:numPr>
          <w:ilvl w:val="0"/>
          <w:numId w:val="2"/>
        </w:numPr>
        <w:spacing w:before="100" w:beforeAutospacing="1" w:after="100" w:afterAutospacing="1" w:line="240" w:lineRule="auto"/>
        <w:jc w:val="both"/>
        <w:outlineLvl w:val="1"/>
        <w:rPr>
          <w:rFonts w:ascii="Arial" w:hAnsi="Arial" w:cs="Arial"/>
        </w:rPr>
      </w:pPr>
      <w:r w:rsidRPr="009A0ED6">
        <w:rPr>
          <w:rFonts w:ascii="Arial" w:hAnsi="Arial" w:cs="Arial"/>
        </w:rPr>
        <w:t>200 eurov za samske osebe,</w:t>
      </w:r>
    </w:p>
    <w:p w14:paraId="2F583D2B" w14:textId="77777777" w:rsidR="009A0ED6" w:rsidRPr="009A0ED6" w:rsidRDefault="009A0ED6" w:rsidP="00C06833">
      <w:pPr>
        <w:numPr>
          <w:ilvl w:val="0"/>
          <w:numId w:val="2"/>
        </w:numPr>
        <w:spacing w:before="100" w:beforeAutospacing="1" w:after="100" w:afterAutospacing="1" w:line="240" w:lineRule="auto"/>
        <w:jc w:val="both"/>
        <w:outlineLvl w:val="1"/>
        <w:rPr>
          <w:rFonts w:ascii="Arial" w:hAnsi="Arial" w:cs="Arial"/>
        </w:rPr>
      </w:pPr>
      <w:r w:rsidRPr="009A0ED6">
        <w:rPr>
          <w:rFonts w:ascii="Arial" w:hAnsi="Arial" w:cs="Arial"/>
        </w:rPr>
        <w:t>200 eurov za družine z enim staršem, povečan za 118 eurov za vsakega otroka ali za 59 eurov, če je otrok dodeljen v skupno varstvo in vzgojo,</w:t>
      </w:r>
    </w:p>
    <w:p w14:paraId="672F5AAF" w14:textId="77777777" w:rsidR="009A0ED6" w:rsidRPr="009A0ED6" w:rsidRDefault="009A0ED6" w:rsidP="00C06833">
      <w:pPr>
        <w:numPr>
          <w:ilvl w:val="0"/>
          <w:numId w:val="2"/>
        </w:numPr>
        <w:spacing w:before="100" w:beforeAutospacing="1" w:after="100" w:afterAutospacing="1" w:line="240" w:lineRule="auto"/>
        <w:jc w:val="both"/>
        <w:outlineLvl w:val="1"/>
        <w:rPr>
          <w:rFonts w:ascii="Arial" w:hAnsi="Arial" w:cs="Arial"/>
        </w:rPr>
      </w:pPr>
      <w:r w:rsidRPr="009A0ED6">
        <w:rPr>
          <w:rFonts w:ascii="Arial" w:hAnsi="Arial" w:cs="Arial"/>
        </w:rPr>
        <w:t xml:space="preserve">314 eurov za </w:t>
      </w:r>
      <w:proofErr w:type="spellStart"/>
      <w:r w:rsidRPr="009A0ED6">
        <w:rPr>
          <w:rFonts w:ascii="Arial" w:hAnsi="Arial" w:cs="Arial"/>
        </w:rPr>
        <w:t>dvostarševske</w:t>
      </w:r>
      <w:proofErr w:type="spellEnd"/>
      <w:r w:rsidRPr="009A0ED6">
        <w:rPr>
          <w:rFonts w:ascii="Arial" w:hAnsi="Arial" w:cs="Arial"/>
        </w:rPr>
        <w:t xml:space="preserve"> družine, povečan za 118 eurov za vsakega otroka ali za 59 eurov, če je otrok dodeljen v skupno varstvo in vzgojo,</w:t>
      </w:r>
    </w:p>
    <w:p w14:paraId="1EB6D108" w14:textId="77777777" w:rsidR="009A0ED6" w:rsidRPr="009A0ED6" w:rsidRDefault="009A0ED6" w:rsidP="00C06833">
      <w:pPr>
        <w:numPr>
          <w:ilvl w:val="0"/>
          <w:numId w:val="2"/>
        </w:numPr>
        <w:spacing w:before="100" w:beforeAutospacing="1" w:after="100" w:afterAutospacing="1" w:line="240" w:lineRule="auto"/>
        <w:jc w:val="both"/>
        <w:outlineLvl w:val="1"/>
        <w:rPr>
          <w:rFonts w:ascii="Arial" w:hAnsi="Arial" w:cs="Arial"/>
        </w:rPr>
      </w:pPr>
      <w:r w:rsidRPr="009A0ED6">
        <w:rPr>
          <w:rFonts w:ascii="Arial" w:hAnsi="Arial" w:cs="Arial"/>
        </w:rPr>
        <w:t>314 eurov za pare brez otrok.</w:t>
      </w:r>
    </w:p>
    <w:p w14:paraId="667DD122" w14:textId="77777777" w:rsidR="009A0ED6" w:rsidRDefault="009A0ED6" w:rsidP="00C06833">
      <w:pPr>
        <w:spacing w:before="100" w:beforeAutospacing="1" w:after="100" w:afterAutospacing="1" w:line="240" w:lineRule="auto"/>
        <w:jc w:val="both"/>
        <w:outlineLvl w:val="1"/>
        <w:rPr>
          <w:rFonts w:ascii="Arial" w:hAnsi="Arial" w:cs="Arial"/>
        </w:rPr>
      </w:pPr>
      <w:r w:rsidRPr="009A0ED6">
        <w:rPr>
          <w:rFonts w:ascii="Arial" w:hAnsi="Arial" w:cs="Arial"/>
        </w:rPr>
        <w:t>Energetski dodatek v višini 200 evrov bodo prejeli prejemniki denarne socialne pomoči (DSP) in varstvenega dodatka (VD) ter invalidi. Za izplačilo enkratnega energetskega dodatka</w:t>
      </w:r>
      <w:r w:rsidRPr="009A0ED6">
        <w:rPr>
          <w:rFonts w:ascii="Arial" w:hAnsi="Arial" w:cs="Arial"/>
          <w:b/>
          <w:bCs/>
        </w:rPr>
        <w:t> ne bo treba vložiti vloge.</w:t>
      </w:r>
      <w:r w:rsidRPr="009A0ED6">
        <w:rPr>
          <w:rFonts w:ascii="Arial" w:hAnsi="Arial" w:cs="Arial"/>
        </w:rPr>
        <w:t xml:space="preserve"> Prvo izplačilo energetskega dodatka za prejemnike </w:t>
      </w:r>
      <w:r w:rsidR="00C06833">
        <w:rPr>
          <w:rFonts w:ascii="Arial" w:hAnsi="Arial" w:cs="Arial"/>
        </w:rPr>
        <w:t>denarne socialne pomoči oziroma varstvenega dodatka</w:t>
      </w:r>
      <w:r w:rsidRPr="009A0ED6">
        <w:rPr>
          <w:rFonts w:ascii="Arial" w:hAnsi="Arial" w:cs="Arial"/>
        </w:rPr>
        <w:t xml:space="preserve"> bo predvidoma izplačano </w:t>
      </w:r>
      <w:r w:rsidR="00C06833">
        <w:rPr>
          <w:rFonts w:ascii="Arial" w:hAnsi="Arial" w:cs="Arial"/>
        </w:rPr>
        <w:t>v novembru</w:t>
      </w:r>
      <w:r w:rsidRPr="009A0ED6">
        <w:rPr>
          <w:rFonts w:ascii="Arial" w:hAnsi="Arial" w:cs="Arial"/>
        </w:rPr>
        <w:t xml:space="preserve"> 2022. </w:t>
      </w:r>
    </w:p>
    <w:p w14:paraId="03CCEC28" w14:textId="77777777" w:rsidR="00C06833" w:rsidRPr="00C06833" w:rsidRDefault="00C06833" w:rsidP="00C06833">
      <w:pPr>
        <w:spacing w:before="100" w:beforeAutospacing="1" w:after="100" w:afterAutospacing="1" w:line="240" w:lineRule="auto"/>
        <w:jc w:val="both"/>
        <w:outlineLvl w:val="1"/>
        <w:rPr>
          <w:rFonts w:ascii="Arial" w:hAnsi="Arial" w:cs="Arial"/>
        </w:rPr>
      </w:pPr>
      <w:r>
        <w:rPr>
          <w:rFonts w:ascii="Arial" w:hAnsi="Arial" w:cs="Arial"/>
        </w:rPr>
        <w:t xml:space="preserve">Posamezniki, pari ali družine, ki so materialno ogroženi, lahko vložijo vlogo za denarno socialno pomoč in/ali varstveni dodatek. </w:t>
      </w:r>
      <w:r w:rsidR="00581536">
        <w:rPr>
          <w:rFonts w:ascii="Arial" w:hAnsi="Arial" w:cs="Arial"/>
        </w:rPr>
        <w:t>Pristojni center</w:t>
      </w:r>
      <w:r w:rsidRPr="00C06833">
        <w:rPr>
          <w:rFonts w:ascii="Arial" w:hAnsi="Arial" w:cs="Arial"/>
        </w:rPr>
        <w:t xml:space="preserve"> za socialno delo </w:t>
      </w:r>
      <w:r>
        <w:rPr>
          <w:rFonts w:ascii="Arial" w:hAnsi="Arial" w:cs="Arial"/>
        </w:rPr>
        <w:t xml:space="preserve">bo </w:t>
      </w:r>
      <w:r w:rsidRPr="00C06833">
        <w:rPr>
          <w:rFonts w:ascii="Arial" w:hAnsi="Arial" w:cs="Arial"/>
        </w:rPr>
        <w:t>ugotovi</w:t>
      </w:r>
      <w:r w:rsidR="00581536">
        <w:rPr>
          <w:rFonts w:ascii="Arial" w:hAnsi="Arial" w:cs="Arial"/>
        </w:rPr>
        <w:t>l</w:t>
      </w:r>
      <w:r w:rsidRPr="00C06833">
        <w:rPr>
          <w:rFonts w:ascii="Arial" w:hAnsi="Arial" w:cs="Arial"/>
        </w:rPr>
        <w:t xml:space="preserve"> morebitno upravičenost do navedenih oblik pomoči. Na podlagi odločbe o upravičenosti do </w:t>
      </w:r>
      <w:r>
        <w:rPr>
          <w:rFonts w:ascii="Arial" w:hAnsi="Arial" w:cs="Arial"/>
        </w:rPr>
        <w:t xml:space="preserve">vsaj </w:t>
      </w:r>
      <w:r w:rsidRPr="00C06833">
        <w:rPr>
          <w:rFonts w:ascii="Arial" w:hAnsi="Arial" w:cs="Arial"/>
        </w:rPr>
        <w:t xml:space="preserve">ene od </w:t>
      </w:r>
      <w:r>
        <w:rPr>
          <w:rFonts w:ascii="Arial" w:hAnsi="Arial" w:cs="Arial"/>
        </w:rPr>
        <w:t>obeh</w:t>
      </w:r>
      <w:r w:rsidR="00581536">
        <w:rPr>
          <w:rFonts w:ascii="Arial" w:hAnsi="Arial" w:cs="Arial"/>
        </w:rPr>
        <w:t xml:space="preserve"> pravic</w:t>
      </w:r>
      <w:r w:rsidRPr="00C06833">
        <w:rPr>
          <w:rFonts w:ascii="Arial" w:hAnsi="Arial" w:cs="Arial"/>
        </w:rPr>
        <w:t xml:space="preserve"> pa bodo upravičenci prejeli tudi energetski dodatek</w:t>
      </w:r>
      <w:r w:rsidR="00581536">
        <w:rPr>
          <w:rFonts w:ascii="Arial" w:hAnsi="Arial" w:cs="Arial"/>
        </w:rPr>
        <w:t xml:space="preserve">, ki bo </w:t>
      </w:r>
      <w:r>
        <w:rPr>
          <w:rFonts w:ascii="Arial" w:hAnsi="Arial" w:cs="Arial"/>
        </w:rPr>
        <w:t>za upravičence</w:t>
      </w:r>
      <w:r w:rsidR="00581536">
        <w:rPr>
          <w:rFonts w:ascii="Arial" w:hAnsi="Arial" w:cs="Arial"/>
        </w:rPr>
        <w:t>,</w:t>
      </w:r>
      <w:r>
        <w:rPr>
          <w:rFonts w:ascii="Arial" w:hAnsi="Arial" w:cs="Arial"/>
        </w:rPr>
        <w:t xml:space="preserve"> </w:t>
      </w:r>
      <w:r w:rsidRPr="00C06833">
        <w:rPr>
          <w:rFonts w:ascii="Arial" w:hAnsi="Arial" w:cs="Arial"/>
        </w:rPr>
        <w:t xml:space="preserve">ki bodo </w:t>
      </w:r>
      <w:r>
        <w:rPr>
          <w:rFonts w:ascii="Arial" w:hAnsi="Arial" w:cs="Arial"/>
        </w:rPr>
        <w:t xml:space="preserve">pravico </w:t>
      </w:r>
      <w:r w:rsidRPr="00C06833">
        <w:rPr>
          <w:rFonts w:ascii="Arial" w:hAnsi="Arial" w:cs="Arial"/>
        </w:rPr>
        <w:t xml:space="preserve"> uveljavili naknadno</w:t>
      </w:r>
      <w:r>
        <w:rPr>
          <w:rFonts w:ascii="Arial" w:hAnsi="Arial" w:cs="Arial"/>
        </w:rPr>
        <w:t>,</w:t>
      </w:r>
      <w:r w:rsidRPr="00C06833">
        <w:rPr>
          <w:rFonts w:ascii="Arial" w:hAnsi="Arial" w:cs="Arial"/>
        </w:rPr>
        <w:t xml:space="preserve"> izplačan v kasnejših terminih. </w:t>
      </w:r>
    </w:p>
    <w:p w14:paraId="678C7619" w14:textId="77777777" w:rsidR="00C06833" w:rsidRPr="00581536" w:rsidRDefault="00C06833" w:rsidP="00C06833">
      <w:pPr>
        <w:spacing w:before="100" w:beforeAutospacing="1" w:after="100" w:afterAutospacing="1" w:line="240" w:lineRule="auto"/>
        <w:jc w:val="both"/>
        <w:outlineLvl w:val="1"/>
        <w:rPr>
          <w:rFonts w:ascii="Arial" w:hAnsi="Arial" w:cs="Arial"/>
          <w:b/>
          <w:i/>
          <w:u w:val="single"/>
        </w:rPr>
      </w:pPr>
      <w:r w:rsidRPr="00581536">
        <w:rPr>
          <w:rFonts w:ascii="Arial" w:hAnsi="Arial" w:cs="Arial"/>
          <w:b/>
          <w:i/>
          <w:u w:val="single"/>
        </w:rPr>
        <w:t>Dohodkovni pogoj za denarno socialno pomoč in varstveni dodatek</w:t>
      </w:r>
    </w:p>
    <w:p w14:paraId="129B866F" w14:textId="77777777" w:rsidR="009A0ED6" w:rsidRPr="009A0ED6" w:rsidRDefault="009A0ED6" w:rsidP="00C06833">
      <w:pPr>
        <w:spacing w:before="100" w:beforeAutospacing="1" w:after="100" w:afterAutospacing="1" w:line="240" w:lineRule="auto"/>
        <w:jc w:val="both"/>
        <w:outlineLvl w:val="1"/>
        <w:rPr>
          <w:rFonts w:ascii="Arial" w:hAnsi="Arial" w:cs="Arial"/>
        </w:rPr>
      </w:pPr>
      <w:r w:rsidRPr="00581536">
        <w:rPr>
          <w:rFonts w:ascii="Arial" w:hAnsi="Arial" w:cs="Arial"/>
          <w:highlight w:val="lightGray"/>
        </w:rPr>
        <w:t>Pogoj za upravičenost do denarne socialne pomoči</w:t>
      </w:r>
      <w:r w:rsidRPr="009A0ED6">
        <w:rPr>
          <w:rFonts w:ascii="Arial" w:hAnsi="Arial" w:cs="Arial"/>
        </w:rPr>
        <w:t xml:space="preserve"> je,  da </w:t>
      </w:r>
      <w:r w:rsidRPr="009A0ED6">
        <w:rPr>
          <w:rFonts w:ascii="Arial" w:hAnsi="Arial" w:cs="Arial"/>
          <w:b/>
        </w:rPr>
        <w:t>dohodki samske odrasle osebe</w:t>
      </w:r>
      <w:r w:rsidRPr="009A0ED6">
        <w:rPr>
          <w:rFonts w:ascii="Arial" w:hAnsi="Arial" w:cs="Arial"/>
        </w:rPr>
        <w:t xml:space="preserve"> </w:t>
      </w:r>
      <w:r w:rsidR="00581536">
        <w:rPr>
          <w:rFonts w:ascii="Arial" w:hAnsi="Arial" w:cs="Arial"/>
          <w:b/>
        </w:rPr>
        <w:t>ne presegajo 421,89 EUR</w:t>
      </w:r>
      <w:r w:rsidRPr="009A0ED6">
        <w:rPr>
          <w:rFonts w:ascii="Arial" w:hAnsi="Arial" w:cs="Arial"/>
        </w:rPr>
        <w:t xml:space="preserve">, </w:t>
      </w:r>
      <w:r w:rsidRPr="009A0ED6">
        <w:rPr>
          <w:rFonts w:ascii="Arial" w:hAnsi="Arial" w:cs="Arial"/>
          <w:b/>
        </w:rPr>
        <w:t>dohodki para</w:t>
      </w:r>
      <w:r w:rsidRPr="009A0ED6">
        <w:rPr>
          <w:rFonts w:ascii="Arial" w:hAnsi="Arial" w:cs="Arial"/>
        </w:rPr>
        <w:t xml:space="preserve"> (zakoncev, zunajzakonskih partnerjev…) pa </w:t>
      </w:r>
      <w:r w:rsidRPr="009A0ED6">
        <w:rPr>
          <w:rFonts w:ascii="Arial" w:hAnsi="Arial" w:cs="Arial"/>
          <w:b/>
        </w:rPr>
        <w:t>662,36 EUR</w:t>
      </w:r>
      <w:r w:rsidRPr="009A0ED6">
        <w:rPr>
          <w:rFonts w:ascii="Arial" w:hAnsi="Arial" w:cs="Arial"/>
        </w:rPr>
        <w:t xml:space="preserve"> ob upoštevanju vseh zakonsko določenih pogojev. </w:t>
      </w:r>
      <w:r w:rsidRPr="009A0ED6">
        <w:rPr>
          <w:rFonts w:ascii="Arial" w:hAnsi="Arial" w:cs="Arial"/>
          <w:b/>
        </w:rPr>
        <w:t>Za vsakega otroka</w:t>
      </w:r>
      <w:r w:rsidRPr="009A0ED6">
        <w:rPr>
          <w:rFonts w:ascii="Arial" w:hAnsi="Arial" w:cs="Arial"/>
        </w:rPr>
        <w:t>, ki so ga starši še dolžni preživljati</w:t>
      </w:r>
      <w:r w:rsidR="00581536">
        <w:rPr>
          <w:rFonts w:ascii="Arial" w:hAnsi="Arial" w:cs="Arial"/>
        </w:rPr>
        <w:t>,</w:t>
      </w:r>
      <w:r w:rsidRPr="009A0ED6">
        <w:rPr>
          <w:rFonts w:ascii="Arial" w:hAnsi="Arial" w:cs="Arial"/>
        </w:rPr>
        <w:t xml:space="preserve"> </w:t>
      </w:r>
      <w:r w:rsidRPr="009A0ED6">
        <w:rPr>
          <w:rFonts w:ascii="Arial" w:hAnsi="Arial" w:cs="Arial"/>
          <w:b/>
        </w:rPr>
        <w:t>se minimalni dohodek zviša še za 248,92 EUR</w:t>
      </w:r>
      <w:r w:rsidRPr="009A0ED6">
        <w:rPr>
          <w:rFonts w:ascii="Arial" w:hAnsi="Arial" w:cs="Arial"/>
        </w:rPr>
        <w:t xml:space="preserve">. </w:t>
      </w:r>
    </w:p>
    <w:p w14:paraId="738112A2" w14:textId="77777777" w:rsidR="009A0ED6" w:rsidRDefault="009A0ED6" w:rsidP="00C06833">
      <w:pPr>
        <w:spacing w:before="100" w:beforeAutospacing="1" w:after="100" w:afterAutospacing="1" w:line="240" w:lineRule="auto"/>
        <w:jc w:val="both"/>
        <w:outlineLvl w:val="1"/>
        <w:rPr>
          <w:rFonts w:ascii="Arial" w:hAnsi="Arial" w:cs="Arial"/>
          <w:b/>
        </w:rPr>
      </w:pPr>
      <w:r w:rsidRPr="00994D00">
        <w:rPr>
          <w:rFonts w:ascii="Arial" w:hAnsi="Arial" w:cs="Arial"/>
          <w:highlight w:val="lightGray"/>
        </w:rPr>
        <w:t>Pogoj za upravičenost do varstvenega dodatka</w:t>
      </w:r>
      <w:r w:rsidRPr="009A0ED6">
        <w:rPr>
          <w:rFonts w:ascii="Arial" w:hAnsi="Arial" w:cs="Arial"/>
        </w:rPr>
        <w:t xml:space="preserve"> je</w:t>
      </w:r>
      <w:r>
        <w:rPr>
          <w:rFonts w:ascii="Arial" w:hAnsi="Arial" w:cs="Arial"/>
        </w:rPr>
        <w:t xml:space="preserve"> poleg drugih zakonsko določenih pogojev</w:t>
      </w:r>
      <w:r w:rsidRPr="009A0ED6">
        <w:rPr>
          <w:rFonts w:ascii="Arial" w:hAnsi="Arial" w:cs="Arial"/>
        </w:rPr>
        <w:t>, da dohodki samske odrasle osebe, ki je starejša od 63 let (ženske) oz</w:t>
      </w:r>
      <w:r w:rsidR="00581536">
        <w:rPr>
          <w:rFonts w:ascii="Arial" w:hAnsi="Arial" w:cs="Arial"/>
        </w:rPr>
        <w:t>.</w:t>
      </w:r>
      <w:r w:rsidRPr="009A0ED6">
        <w:rPr>
          <w:rFonts w:ascii="Arial" w:hAnsi="Arial" w:cs="Arial"/>
        </w:rPr>
        <w:t xml:space="preserve"> 65 let (moški), oz. je trajno nezmožna za delo</w:t>
      </w:r>
      <w:r w:rsidR="00581536">
        <w:rPr>
          <w:rFonts w:ascii="Arial" w:hAnsi="Arial" w:cs="Arial"/>
          <w:b/>
        </w:rPr>
        <w:t>,</w:t>
      </w:r>
      <w:r w:rsidR="00994D00" w:rsidRPr="00994D00">
        <w:rPr>
          <w:rFonts w:ascii="Arial" w:hAnsi="Arial" w:cs="Arial"/>
          <w:b/>
        </w:rPr>
        <w:t xml:space="preserve"> z dohodki</w:t>
      </w:r>
      <w:r w:rsidR="00994D00">
        <w:rPr>
          <w:rFonts w:ascii="Arial" w:hAnsi="Arial" w:cs="Arial"/>
        </w:rPr>
        <w:t xml:space="preserve"> </w:t>
      </w:r>
      <w:r w:rsidR="00581536">
        <w:rPr>
          <w:rFonts w:ascii="Arial" w:hAnsi="Arial" w:cs="Arial"/>
          <w:b/>
        </w:rPr>
        <w:t>ne presega</w:t>
      </w:r>
      <w:r w:rsidRPr="009A0ED6">
        <w:rPr>
          <w:rFonts w:ascii="Arial" w:hAnsi="Arial" w:cs="Arial"/>
          <w:b/>
        </w:rPr>
        <w:t xml:space="preserve"> 620,18 EUR, oziroma 767,84 EUR za par, če pogoj (starost ali nezmožnost za delo) za varstveni dodatek izpolnjuje le eden od zakoncev oziroma zunajzakonskih partnerjev,  oziroma 966,13 EUR, če pogoj (starost ali nezmožnost za delo</w:t>
      </w:r>
      <w:r w:rsidR="00994D00">
        <w:rPr>
          <w:rFonts w:ascii="Arial" w:hAnsi="Arial" w:cs="Arial"/>
          <w:b/>
        </w:rPr>
        <w:t>)</w:t>
      </w:r>
      <w:r w:rsidRPr="009A0ED6">
        <w:rPr>
          <w:rFonts w:ascii="Arial" w:hAnsi="Arial" w:cs="Arial"/>
          <w:b/>
        </w:rPr>
        <w:t xml:space="preserve"> izpolnjujeta oba zakonca. </w:t>
      </w:r>
    </w:p>
    <w:p w14:paraId="39B4C78A" w14:textId="77777777" w:rsidR="00C06833" w:rsidRPr="00581536" w:rsidRDefault="00C06833" w:rsidP="00C06833">
      <w:pPr>
        <w:spacing w:before="100" w:beforeAutospacing="1" w:after="100" w:afterAutospacing="1" w:line="240" w:lineRule="auto"/>
        <w:jc w:val="both"/>
        <w:outlineLvl w:val="1"/>
        <w:rPr>
          <w:rFonts w:ascii="Arial" w:hAnsi="Arial" w:cs="Arial"/>
          <w:b/>
          <w:bCs/>
          <w:i/>
          <w:u w:val="single"/>
        </w:rPr>
      </w:pPr>
      <w:r w:rsidRPr="00581536">
        <w:rPr>
          <w:rFonts w:ascii="Arial" w:hAnsi="Arial" w:cs="Arial"/>
          <w:b/>
          <w:bCs/>
          <w:i/>
          <w:u w:val="single"/>
        </w:rPr>
        <w:t xml:space="preserve">Izjeme na področju socialno varstvenih prejemkov </w:t>
      </w:r>
    </w:p>
    <w:p w14:paraId="6757C82E" w14:textId="77777777" w:rsidR="00C06833" w:rsidRPr="00581536" w:rsidRDefault="00C06833" w:rsidP="00C06833">
      <w:pPr>
        <w:spacing w:before="100" w:beforeAutospacing="1" w:after="100" w:afterAutospacing="1" w:line="240" w:lineRule="auto"/>
        <w:jc w:val="both"/>
        <w:outlineLvl w:val="1"/>
        <w:rPr>
          <w:rFonts w:ascii="Arial" w:hAnsi="Arial" w:cs="Arial"/>
        </w:rPr>
      </w:pPr>
      <w:r w:rsidRPr="00581536">
        <w:rPr>
          <w:rFonts w:ascii="Arial" w:hAnsi="Arial" w:cs="Arial"/>
        </w:rPr>
        <w:t xml:space="preserve">Z namenom razširitve kroga upravičencev do energetskega dodatka bo v postopkih za denarno socialno pomoč in varstveni dodatek, ki bodo vložene v obdobju od 1. 10. 2022 2022 do 28. 2. 2023, </w:t>
      </w:r>
      <w:r w:rsidRPr="00581536">
        <w:rPr>
          <w:rFonts w:ascii="Arial" w:hAnsi="Arial" w:cs="Arial"/>
          <w:b/>
        </w:rPr>
        <w:t>prilagojeno upoštevanje premoženja</w:t>
      </w:r>
      <w:r w:rsidRPr="00581536">
        <w:rPr>
          <w:rFonts w:ascii="Arial" w:hAnsi="Arial" w:cs="Arial"/>
        </w:rPr>
        <w:t xml:space="preserve">, kar pomeni, da določene kategorije premoženja v postopkih ne bodo vplivale na ugotovljeno materialno stanje. </w:t>
      </w:r>
    </w:p>
    <w:p w14:paraId="2DA77EC1" w14:textId="77777777" w:rsidR="00C06833" w:rsidRPr="00776C1E" w:rsidRDefault="00776C1E" w:rsidP="00C06833">
      <w:pPr>
        <w:spacing w:before="100" w:beforeAutospacing="1" w:after="100" w:afterAutospacing="1" w:line="240" w:lineRule="auto"/>
        <w:jc w:val="both"/>
        <w:outlineLvl w:val="1"/>
        <w:rPr>
          <w:rFonts w:ascii="Arial" w:hAnsi="Arial" w:cs="Arial"/>
        </w:rPr>
      </w:pPr>
      <w:r w:rsidRPr="00776C1E">
        <w:rPr>
          <w:rFonts w:ascii="Arial" w:hAnsi="Arial" w:cs="Arial"/>
        </w:rPr>
        <w:t>Enota Šmarje pri Jelšah</w:t>
      </w:r>
    </w:p>
    <w:p w14:paraId="0DB67720" w14:textId="77777777" w:rsidR="00C06833" w:rsidRPr="009A0ED6" w:rsidRDefault="00C06833" w:rsidP="00C06833">
      <w:pPr>
        <w:spacing w:before="100" w:beforeAutospacing="1" w:after="100" w:afterAutospacing="1" w:line="240" w:lineRule="auto"/>
        <w:jc w:val="both"/>
        <w:outlineLvl w:val="1"/>
        <w:rPr>
          <w:rFonts w:ascii="Arial" w:hAnsi="Arial" w:cs="Arial"/>
        </w:rPr>
      </w:pPr>
    </w:p>
    <w:p w14:paraId="2C04C544" w14:textId="77777777" w:rsidR="009A0ED6" w:rsidRPr="009A0ED6" w:rsidRDefault="009A0ED6" w:rsidP="009A0ED6">
      <w:pPr>
        <w:spacing w:before="100" w:beforeAutospacing="1" w:after="100" w:afterAutospacing="1" w:line="240" w:lineRule="auto"/>
        <w:outlineLvl w:val="1"/>
        <w:rPr>
          <w:rFonts w:ascii="Arial" w:hAnsi="Arial" w:cs="Arial"/>
        </w:rPr>
      </w:pPr>
    </w:p>
    <w:p w14:paraId="4E1095D9" w14:textId="77777777" w:rsidR="00664EAF" w:rsidRDefault="00664EAF" w:rsidP="00664EAF">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p>
    <w:p w14:paraId="6D517EFF" w14:textId="77777777" w:rsidR="00664EAF" w:rsidRDefault="00664EAF" w:rsidP="00664EAF">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p>
    <w:p w14:paraId="6A81DC51" w14:textId="77777777" w:rsidR="00D56C20" w:rsidRDefault="00D56C20" w:rsidP="00664EAF">
      <w:pPr>
        <w:spacing w:before="100" w:beforeAutospacing="1" w:after="100" w:afterAutospacing="1" w:line="240" w:lineRule="auto"/>
        <w:outlineLvl w:val="1"/>
        <w:rPr>
          <w:rFonts w:ascii="Arial" w:eastAsia="Times New Roman" w:hAnsi="Arial" w:cs="Arial"/>
          <w:b/>
          <w:bCs/>
          <w:lang w:eastAsia="sl-SI"/>
        </w:rPr>
      </w:pPr>
    </w:p>
    <w:p w14:paraId="12EE0DFC" w14:textId="77777777" w:rsidR="00F0488D" w:rsidRPr="00664EAF" w:rsidRDefault="00F0488D" w:rsidP="00F0488D">
      <w:pPr>
        <w:spacing w:before="100" w:beforeAutospacing="1" w:after="100" w:afterAutospacing="1" w:line="240" w:lineRule="auto"/>
        <w:jc w:val="both"/>
        <w:rPr>
          <w:rFonts w:ascii="Arial" w:eastAsia="Times New Roman" w:hAnsi="Arial" w:cs="Arial"/>
          <w:lang w:eastAsia="sl-SI"/>
        </w:rPr>
      </w:pPr>
    </w:p>
    <w:sectPr w:rsidR="00F0488D" w:rsidRPr="00664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F4F1D"/>
    <w:multiLevelType w:val="multilevel"/>
    <w:tmpl w:val="C232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E55C5"/>
    <w:multiLevelType w:val="multilevel"/>
    <w:tmpl w:val="5ED8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26D12"/>
    <w:multiLevelType w:val="multilevel"/>
    <w:tmpl w:val="39C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039E4"/>
    <w:multiLevelType w:val="multilevel"/>
    <w:tmpl w:val="6042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8D"/>
    <w:rsid w:val="0012083A"/>
    <w:rsid w:val="0026413B"/>
    <w:rsid w:val="002F1734"/>
    <w:rsid w:val="004C4AD1"/>
    <w:rsid w:val="00581536"/>
    <w:rsid w:val="00605F83"/>
    <w:rsid w:val="00612B4B"/>
    <w:rsid w:val="00624534"/>
    <w:rsid w:val="00664EAF"/>
    <w:rsid w:val="00735ABD"/>
    <w:rsid w:val="00776C1E"/>
    <w:rsid w:val="00994D00"/>
    <w:rsid w:val="009A0ED6"/>
    <w:rsid w:val="00C06833"/>
    <w:rsid w:val="00CA5739"/>
    <w:rsid w:val="00CD7A0B"/>
    <w:rsid w:val="00D20C8F"/>
    <w:rsid w:val="00D56C20"/>
    <w:rsid w:val="00F04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95B0"/>
  <w15:chartTrackingRefBased/>
  <w15:docId w15:val="{562FC653-91B9-4D2A-9951-CB615CD7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0488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0488D"/>
    <w:rPr>
      <w:b/>
      <w:bCs/>
    </w:rPr>
  </w:style>
  <w:style w:type="paragraph" w:styleId="Odstavekseznama">
    <w:name w:val="List Paragraph"/>
    <w:basedOn w:val="Navaden"/>
    <w:uiPriority w:val="34"/>
    <w:qFormat/>
    <w:rsid w:val="00D5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680">
      <w:bodyDiv w:val="1"/>
      <w:marLeft w:val="0"/>
      <w:marRight w:val="0"/>
      <w:marTop w:val="0"/>
      <w:marBottom w:val="0"/>
      <w:divBdr>
        <w:top w:val="none" w:sz="0" w:space="0" w:color="auto"/>
        <w:left w:val="none" w:sz="0" w:space="0" w:color="auto"/>
        <w:bottom w:val="none" w:sz="0" w:space="0" w:color="auto"/>
        <w:right w:val="none" w:sz="0" w:space="0" w:color="auto"/>
      </w:divBdr>
    </w:div>
    <w:div w:id="878971882">
      <w:bodyDiv w:val="1"/>
      <w:marLeft w:val="0"/>
      <w:marRight w:val="0"/>
      <w:marTop w:val="0"/>
      <w:marBottom w:val="0"/>
      <w:divBdr>
        <w:top w:val="none" w:sz="0" w:space="0" w:color="auto"/>
        <w:left w:val="none" w:sz="0" w:space="0" w:color="auto"/>
        <w:bottom w:val="none" w:sz="0" w:space="0" w:color="auto"/>
        <w:right w:val="none" w:sz="0" w:space="0" w:color="auto"/>
      </w:divBdr>
    </w:div>
    <w:div w:id="1683971246">
      <w:bodyDiv w:val="1"/>
      <w:marLeft w:val="0"/>
      <w:marRight w:val="0"/>
      <w:marTop w:val="0"/>
      <w:marBottom w:val="0"/>
      <w:divBdr>
        <w:top w:val="none" w:sz="0" w:space="0" w:color="auto"/>
        <w:left w:val="none" w:sz="0" w:space="0" w:color="auto"/>
        <w:bottom w:val="none" w:sz="0" w:space="0" w:color="auto"/>
        <w:right w:val="none" w:sz="0" w:space="0" w:color="auto"/>
      </w:divBdr>
    </w:div>
    <w:div w:id="1848665473">
      <w:bodyDiv w:val="1"/>
      <w:marLeft w:val="0"/>
      <w:marRight w:val="0"/>
      <w:marTop w:val="0"/>
      <w:marBottom w:val="0"/>
      <w:divBdr>
        <w:top w:val="none" w:sz="0" w:space="0" w:color="auto"/>
        <w:left w:val="none" w:sz="0" w:space="0" w:color="auto"/>
        <w:bottom w:val="none" w:sz="0" w:space="0" w:color="auto"/>
        <w:right w:val="none" w:sz="0" w:space="0" w:color="auto"/>
      </w:divBdr>
      <w:divsChild>
        <w:div w:id="2067758061">
          <w:marLeft w:val="0"/>
          <w:marRight w:val="0"/>
          <w:marTop w:val="0"/>
          <w:marBottom w:val="0"/>
          <w:divBdr>
            <w:top w:val="none" w:sz="0" w:space="0" w:color="auto"/>
            <w:left w:val="none" w:sz="0" w:space="0" w:color="auto"/>
            <w:bottom w:val="none" w:sz="0" w:space="0" w:color="auto"/>
            <w:right w:val="none" w:sz="0" w:space="0" w:color="auto"/>
          </w:divBdr>
          <w:divsChild>
            <w:div w:id="1921795680">
              <w:marLeft w:val="0"/>
              <w:marRight w:val="0"/>
              <w:marTop w:val="0"/>
              <w:marBottom w:val="0"/>
              <w:divBdr>
                <w:top w:val="none" w:sz="0" w:space="0" w:color="auto"/>
                <w:left w:val="none" w:sz="0" w:space="0" w:color="auto"/>
                <w:bottom w:val="none" w:sz="0" w:space="0" w:color="auto"/>
                <w:right w:val="none" w:sz="0" w:space="0" w:color="auto"/>
              </w:divBdr>
              <w:divsChild>
                <w:div w:id="17624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8070">
      <w:bodyDiv w:val="1"/>
      <w:marLeft w:val="0"/>
      <w:marRight w:val="0"/>
      <w:marTop w:val="0"/>
      <w:marBottom w:val="0"/>
      <w:divBdr>
        <w:top w:val="none" w:sz="0" w:space="0" w:color="auto"/>
        <w:left w:val="none" w:sz="0" w:space="0" w:color="auto"/>
        <w:bottom w:val="none" w:sz="0" w:space="0" w:color="auto"/>
        <w:right w:val="none" w:sz="0" w:space="0" w:color="auto"/>
      </w:divBdr>
      <w:divsChild>
        <w:div w:id="760486770">
          <w:marLeft w:val="0"/>
          <w:marRight w:val="0"/>
          <w:marTop w:val="0"/>
          <w:marBottom w:val="0"/>
          <w:divBdr>
            <w:top w:val="none" w:sz="0" w:space="0" w:color="auto"/>
            <w:left w:val="none" w:sz="0" w:space="0" w:color="auto"/>
            <w:bottom w:val="none" w:sz="0" w:space="0" w:color="auto"/>
            <w:right w:val="none" w:sz="0" w:space="0" w:color="auto"/>
          </w:divBdr>
        </w:div>
        <w:div w:id="350645052">
          <w:marLeft w:val="0"/>
          <w:marRight w:val="0"/>
          <w:marTop w:val="0"/>
          <w:marBottom w:val="0"/>
          <w:divBdr>
            <w:top w:val="none" w:sz="0" w:space="0" w:color="auto"/>
            <w:left w:val="none" w:sz="0" w:space="0" w:color="auto"/>
            <w:bottom w:val="none" w:sz="0" w:space="0" w:color="auto"/>
            <w:right w:val="none" w:sz="0" w:space="0" w:color="auto"/>
          </w:divBdr>
          <w:divsChild>
            <w:div w:id="666444956">
              <w:marLeft w:val="0"/>
              <w:marRight w:val="0"/>
              <w:marTop w:val="0"/>
              <w:marBottom w:val="0"/>
              <w:divBdr>
                <w:top w:val="none" w:sz="0" w:space="0" w:color="auto"/>
                <w:left w:val="none" w:sz="0" w:space="0" w:color="auto"/>
                <w:bottom w:val="none" w:sz="0" w:space="0" w:color="auto"/>
                <w:right w:val="none" w:sz="0" w:space="0" w:color="auto"/>
              </w:divBdr>
              <w:divsChild>
                <w:div w:id="2100366888">
                  <w:marLeft w:val="0"/>
                  <w:marRight w:val="0"/>
                  <w:marTop w:val="0"/>
                  <w:marBottom w:val="0"/>
                  <w:divBdr>
                    <w:top w:val="none" w:sz="0" w:space="0" w:color="auto"/>
                    <w:left w:val="none" w:sz="0" w:space="0" w:color="auto"/>
                    <w:bottom w:val="none" w:sz="0" w:space="0" w:color="auto"/>
                    <w:right w:val="none" w:sz="0" w:space="0" w:color="auto"/>
                  </w:divBdr>
                  <w:divsChild>
                    <w:div w:id="18936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71029">
      <w:bodyDiv w:val="1"/>
      <w:marLeft w:val="0"/>
      <w:marRight w:val="0"/>
      <w:marTop w:val="0"/>
      <w:marBottom w:val="0"/>
      <w:divBdr>
        <w:top w:val="none" w:sz="0" w:space="0" w:color="auto"/>
        <w:left w:val="none" w:sz="0" w:space="0" w:color="auto"/>
        <w:bottom w:val="none" w:sz="0" w:space="0" w:color="auto"/>
        <w:right w:val="none" w:sz="0" w:space="0" w:color="auto"/>
      </w:divBdr>
    </w:div>
    <w:div w:id="21320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Herman</dc:creator>
  <cp:keywords/>
  <dc:description/>
  <cp:lastModifiedBy>Petra Gašparić</cp:lastModifiedBy>
  <cp:revision>2</cp:revision>
  <dcterms:created xsi:type="dcterms:W3CDTF">2022-10-11T05:51:00Z</dcterms:created>
  <dcterms:modified xsi:type="dcterms:W3CDTF">2022-10-11T05:51:00Z</dcterms:modified>
</cp:coreProperties>
</file>